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590" w:rsidRPr="00850C0C" w:rsidRDefault="009A52D6" w:rsidP="00850C0C">
      <w:pPr>
        <w:rPr>
          <w:rFonts w:ascii="Times New Roman" w:eastAsia="Times New Roman" w:hAnsi="Times New Roman" w:cs="Times New Roman"/>
          <w:bCs/>
          <w:i/>
          <w:sz w:val="20"/>
          <w:szCs w:val="20"/>
        </w:rPr>
      </w:pPr>
      <w:bookmarkStart w:id="0" w:name="_GoBack"/>
      <w:bookmarkEnd w:id="0"/>
      <w:r w:rsidRPr="009A52D6">
        <w:rPr>
          <w:rFonts w:ascii="Times New Roman" w:eastAsia="Times New Roman" w:hAnsi="Times New Roman" w:cs="Times New Roman"/>
          <w:b/>
          <w:bCs/>
          <w:sz w:val="27"/>
          <w:szCs w:val="27"/>
          <w:u w:val="single"/>
        </w:rPr>
        <w:t>Re-Thinking Tenure &amp; Promotion</w:t>
      </w:r>
      <w:r w:rsidR="00C76833">
        <w:rPr>
          <w:rFonts w:ascii="Times New Roman" w:eastAsia="Times New Roman" w:hAnsi="Times New Roman" w:cs="Times New Roman"/>
          <w:b/>
          <w:bCs/>
          <w:sz w:val="27"/>
          <w:szCs w:val="27"/>
          <w:u w:val="single"/>
        </w:rPr>
        <w:t xml:space="preserve"> Resources</w:t>
      </w:r>
      <w:r w:rsidRPr="009A52D6">
        <w:rPr>
          <w:rFonts w:ascii="Times New Roman" w:eastAsia="Times New Roman" w:hAnsi="Times New Roman" w:cs="Times New Roman"/>
          <w:b/>
          <w:bCs/>
          <w:sz w:val="27"/>
          <w:szCs w:val="27"/>
          <w:u w:val="single"/>
        </w:rPr>
        <w:t xml:space="preserve"> </w:t>
      </w:r>
      <w:r w:rsidR="00844908">
        <w:rPr>
          <w:rFonts w:ascii="Times New Roman" w:eastAsia="Times New Roman" w:hAnsi="Times New Roman" w:cs="Times New Roman"/>
          <w:b/>
          <w:bCs/>
          <w:sz w:val="27"/>
          <w:szCs w:val="27"/>
          <w:u w:val="single"/>
        </w:rPr>
        <w:br/>
      </w:r>
      <w:r w:rsidR="00850C0C">
        <w:rPr>
          <w:rFonts w:ascii="Times New Roman" w:eastAsia="Times New Roman" w:hAnsi="Times New Roman" w:cs="Times New Roman"/>
          <w:bCs/>
          <w:i/>
          <w:sz w:val="20"/>
          <w:szCs w:val="20"/>
        </w:rPr>
        <w:br/>
      </w:r>
      <w:r w:rsidRPr="000A5468">
        <w:rPr>
          <w:rFonts w:ascii="Times New Roman" w:eastAsia="Times New Roman" w:hAnsi="Times New Roman" w:cs="Times New Roman"/>
          <w:b/>
          <w:bCs/>
          <w:sz w:val="20"/>
          <w:szCs w:val="20"/>
          <w:u w:val="single"/>
        </w:rPr>
        <w:t>Websites</w:t>
      </w:r>
      <w:r w:rsidR="00842540" w:rsidRPr="000A5468">
        <w:rPr>
          <w:rFonts w:ascii="Times New Roman" w:eastAsia="Times New Roman" w:hAnsi="Times New Roman" w:cs="Times New Roman"/>
          <w:b/>
          <w:bCs/>
          <w:sz w:val="20"/>
          <w:szCs w:val="20"/>
          <w:u w:val="single"/>
        </w:rPr>
        <w:t>/Organizations</w:t>
      </w:r>
      <w:r w:rsidR="00FB2E58">
        <w:rPr>
          <w:rFonts w:ascii="Times New Roman" w:eastAsia="Times New Roman" w:hAnsi="Times New Roman" w:cs="Times New Roman"/>
          <w:b/>
          <w:bCs/>
          <w:sz w:val="27"/>
          <w:szCs w:val="27"/>
          <w:u w:val="single"/>
        </w:rPr>
        <w:br/>
      </w:r>
      <w:r w:rsidRPr="000A5468">
        <w:rPr>
          <w:rFonts w:eastAsia="Times New Roman" w:cstheme="minorHAnsi"/>
          <w:b/>
          <w:bCs/>
          <w:sz w:val="20"/>
          <w:szCs w:val="20"/>
        </w:rPr>
        <w:t>Clear</w:t>
      </w:r>
      <w:r w:rsidR="00EE4798" w:rsidRPr="000A5468">
        <w:rPr>
          <w:rFonts w:eastAsia="Times New Roman" w:cstheme="minorHAnsi"/>
          <w:b/>
          <w:bCs/>
          <w:sz w:val="20"/>
          <w:szCs w:val="20"/>
        </w:rPr>
        <w:t>i</w:t>
      </w:r>
      <w:r w:rsidRPr="000A5468">
        <w:rPr>
          <w:rFonts w:eastAsia="Times New Roman" w:cstheme="minorHAnsi"/>
          <w:b/>
          <w:bCs/>
          <w:sz w:val="20"/>
          <w:szCs w:val="20"/>
        </w:rPr>
        <w:t>nghouse for the Scholarship of Engagement</w:t>
      </w:r>
      <w:r w:rsidRPr="000A5468">
        <w:rPr>
          <w:rFonts w:eastAsia="Times New Roman" w:cstheme="minorHAnsi"/>
          <w:b/>
          <w:bCs/>
          <w:i/>
          <w:sz w:val="20"/>
          <w:szCs w:val="20"/>
        </w:rPr>
        <w:t xml:space="preserve"> </w:t>
      </w:r>
      <w:r w:rsidRPr="000A5468">
        <w:rPr>
          <w:rFonts w:eastAsia="Times New Roman" w:cstheme="minorHAnsi"/>
          <w:b/>
          <w:bCs/>
          <w:i/>
          <w:sz w:val="20"/>
          <w:szCs w:val="20"/>
        </w:rPr>
        <w:br/>
      </w:r>
      <w:r w:rsidR="00B63590" w:rsidRPr="000A5468">
        <w:rPr>
          <w:rFonts w:eastAsia="Times New Roman" w:cstheme="minorHAnsi"/>
          <w:bCs/>
          <w:i/>
          <w:sz w:val="20"/>
          <w:szCs w:val="20"/>
        </w:rPr>
        <w:t>http://www.scholarshipofengagement.org/</w:t>
      </w:r>
      <w:r w:rsidR="00B63590" w:rsidRPr="000A5468">
        <w:rPr>
          <w:rFonts w:eastAsia="Times New Roman" w:cstheme="minorHAnsi"/>
          <w:b/>
          <w:bCs/>
          <w:sz w:val="20"/>
          <w:szCs w:val="20"/>
        </w:rPr>
        <w:br/>
      </w:r>
      <w:r w:rsidR="00842540" w:rsidRPr="000A5468">
        <w:rPr>
          <w:rFonts w:cstheme="minorHAnsi"/>
          <w:sz w:val="20"/>
          <w:szCs w:val="20"/>
        </w:rPr>
        <w:t>“</w:t>
      </w:r>
      <w:r w:rsidR="00B63590" w:rsidRPr="000A5468">
        <w:rPr>
          <w:rFonts w:cstheme="minorHAnsi"/>
          <w:sz w:val="20"/>
          <w:szCs w:val="20"/>
        </w:rPr>
        <w:t>The Clearinghouse for the Scholarship of Engagement is designed to:</w:t>
      </w:r>
      <w:r w:rsidR="00B63590" w:rsidRPr="000A5468">
        <w:rPr>
          <w:rFonts w:cstheme="minorHAnsi"/>
          <w:sz w:val="20"/>
          <w:szCs w:val="20"/>
        </w:rPr>
        <w:br/>
      </w:r>
      <w:r w:rsidRPr="000A5468">
        <w:rPr>
          <w:rFonts w:cstheme="minorHAnsi"/>
          <w:sz w:val="20"/>
          <w:szCs w:val="20"/>
        </w:rPr>
        <w:t>•</w:t>
      </w:r>
      <w:r w:rsidR="00B63590" w:rsidRPr="000A5468">
        <w:rPr>
          <w:rFonts w:cstheme="minorHAnsi"/>
          <w:sz w:val="20"/>
          <w:szCs w:val="20"/>
        </w:rPr>
        <w:t>Sponsor the National Review Board for the Scholarship of Engagement to provide external peer review and</w:t>
      </w:r>
      <w:r w:rsidR="00850C0C">
        <w:rPr>
          <w:rFonts w:cstheme="minorHAnsi"/>
          <w:sz w:val="20"/>
          <w:szCs w:val="20"/>
        </w:rPr>
        <w:br/>
      </w:r>
      <w:r w:rsidR="00B63590" w:rsidRPr="000A5468">
        <w:rPr>
          <w:rFonts w:cstheme="minorHAnsi"/>
          <w:sz w:val="20"/>
          <w:szCs w:val="20"/>
        </w:rPr>
        <w:t xml:space="preserve"> </w:t>
      </w:r>
      <w:r w:rsidR="00850C0C">
        <w:rPr>
          <w:rFonts w:cstheme="minorHAnsi"/>
          <w:sz w:val="20"/>
          <w:szCs w:val="20"/>
        </w:rPr>
        <w:t xml:space="preserve"> </w:t>
      </w:r>
      <w:r w:rsidR="00B63590" w:rsidRPr="000A5468">
        <w:rPr>
          <w:rFonts w:cstheme="minorHAnsi"/>
          <w:sz w:val="20"/>
          <w:szCs w:val="20"/>
        </w:rPr>
        <w:t>evaluation of faculty's scholarship of engagement;</w:t>
      </w:r>
      <w:r w:rsidR="00850C0C">
        <w:rPr>
          <w:rFonts w:cstheme="minorHAnsi"/>
          <w:sz w:val="20"/>
          <w:szCs w:val="20"/>
        </w:rPr>
        <w:br/>
      </w:r>
      <w:r w:rsidRPr="000A5468">
        <w:rPr>
          <w:rFonts w:cstheme="minorHAnsi"/>
          <w:sz w:val="20"/>
          <w:szCs w:val="20"/>
        </w:rPr>
        <w:t>•</w:t>
      </w:r>
      <w:r w:rsidR="00B63590" w:rsidRPr="000A5468">
        <w:rPr>
          <w:rFonts w:cstheme="minorHAnsi"/>
          <w:sz w:val="20"/>
          <w:szCs w:val="20"/>
        </w:rPr>
        <w:t>Provide consultation, training, and technical assistance to campuses who are seeking to develop or strengthen</w:t>
      </w:r>
      <w:r w:rsidR="00850C0C">
        <w:rPr>
          <w:rFonts w:cstheme="minorHAnsi"/>
          <w:sz w:val="20"/>
          <w:szCs w:val="20"/>
        </w:rPr>
        <w:br/>
      </w:r>
      <w:r w:rsidR="00B63590" w:rsidRPr="000A5468">
        <w:rPr>
          <w:rFonts w:cstheme="minorHAnsi"/>
          <w:sz w:val="20"/>
          <w:szCs w:val="20"/>
        </w:rPr>
        <w:t xml:space="preserve"> systems in support of the scholarship of engagement;</w:t>
      </w:r>
      <w:r w:rsidR="00B63590" w:rsidRPr="000A5468">
        <w:rPr>
          <w:rFonts w:cstheme="minorHAnsi"/>
          <w:sz w:val="20"/>
          <w:szCs w:val="20"/>
        </w:rPr>
        <w:br/>
      </w:r>
      <w:r w:rsidRPr="000A5468">
        <w:rPr>
          <w:rFonts w:cstheme="minorHAnsi"/>
          <w:sz w:val="20"/>
          <w:szCs w:val="20"/>
        </w:rPr>
        <w:t>•</w:t>
      </w:r>
      <w:r w:rsidR="00B63590" w:rsidRPr="000A5468">
        <w:rPr>
          <w:rFonts w:cstheme="minorHAnsi"/>
          <w:sz w:val="20"/>
          <w:szCs w:val="20"/>
        </w:rPr>
        <w:t>Conduct forums, programs, and regional conferences on topics related to the scholarship of engagement;</w:t>
      </w:r>
      <w:r w:rsidR="00B63590" w:rsidRPr="000A5468">
        <w:rPr>
          <w:rFonts w:cstheme="minorHAnsi"/>
          <w:sz w:val="20"/>
          <w:szCs w:val="20"/>
        </w:rPr>
        <w:br/>
      </w:r>
      <w:r w:rsidRPr="000A5468">
        <w:rPr>
          <w:rFonts w:cstheme="minorHAnsi"/>
          <w:sz w:val="20"/>
          <w:szCs w:val="20"/>
        </w:rPr>
        <w:t>•</w:t>
      </w:r>
      <w:r w:rsidR="00B63590" w:rsidRPr="000A5468">
        <w:rPr>
          <w:rFonts w:cstheme="minorHAnsi"/>
          <w:sz w:val="20"/>
          <w:szCs w:val="20"/>
        </w:rPr>
        <w:t>Provide a faculty mentoring program with opportunities for less experienced faculty to learn from the outreach</w:t>
      </w:r>
      <w:r w:rsidR="00850C0C">
        <w:rPr>
          <w:rFonts w:cstheme="minorHAnsi"/>
          <w:sz w:val="20"/>
          <w:szCs w:val="20"/>
        </w:rPr>
        <w:br/>
      </w:r>
      <w:r w:rsidR="00B63590" w:rsidRPr="000A5468">
        <w:rPr>
          <w:rFonts w:cstheme="minorHAnsi"/>
          <w:sz w:val="20"/>
          <w:szCs w:val="20"/>
        </w:rPr>
        <w:t xml:space="preserve"> experiences of more seasoned outreach scholars.</w:t>
      </w:r>
      <w:r w:rsidR="00842540" w:rsidRPr="000A5468">
        <w:rPr>
          <w:rFonts w:cstheme="minorHAnsi"/>
          <w:sz w:val="20"/>
          <w:szCs w:val="20"/>
        </w:rPr>
        <w:t>”</w:t>
      </w:r>
    </w:p>
    <w:p w:rsidR="00606AE0" w:rsidRPr="000A5468" w:rsidRDefault="00227966" w:rsidP="0025225C">
      <w:pPr>
        <w:rPr>
          <w:rFonts w:eastAsia="Times New Roman" w:cstheme="minorHAnsi"/>
          <w:b/>
          <w:sz w:val="20"/>
          <w:szCs w:val="20"/>
        </w:rPr>
      </w:pPr>
      <w:r w:rsidRPr="000A5468">
        <w:rPr>
          <w:rFonts w:eastAsia="Times New Roman" w:cstheme="minorHAnsi"/>
          <w:b/>
          <w:bCs/>
          <w:sz w:val="20"/>
          <w:szCs w:val="20"/>
        </w:rPr>
        <w:t>Campus Compact</w:t>
      </w:r>
      <w:r w:rsidR="009A52D6" w:rsidRPr="000A5468">
        <w:rPr>
          <w:rFonts w:eastAsia="Times New Roman" w:cstheme="minorHAnsi"/>
          <w:b/>
          <w:bCs/>
          <w:sz w:val="20"/>
          <w:szCs w:val="20"/>
        </w:rPr>
        <w:t xml:space="preserve"> Engaged Scholarship Toolkit </w:t>
      </w:r>
      <w:r w:rsidR="009A52D6" w:rsidRPr="000A5468">
        <w:rPr>
          <w:rFonts w:eastAsia="Times New Roman" w:cstheme="minorHAnsi"/>
          <w:b/>
          <w:bCs/>
          <w:sz w:val="20"/>
          <w:szCs w:val="20"/>
        </w:rPr>
        <w:br/>
      </w:r>
      <w:r w:rsidR="00AB3622" w:rsidRPr="000A5468">
        <w:rPr>
          <w:rFonts w:eastAsia="Times New Roman" w:cstheme="minorHAnsi"/>
          <w:bCs/>
          <w:i/>
          <w:sz w:val="20"/>
          <w:szCs w:val="20"/>
        </w:rPr>
        <w:t>http://www.compact.org/initiatives/trucen/trucen-toolkit/</w:t>
      </w:r>
      <w:r w:rsidR="0093212A" w:rsidRPr="000A5468">
        <w:rPr>
          <w:rFonts w:eastAsia="Times New Roman" w:cstheme="minorHAnsi"/>
          <w:bCs/>
          <w:i/>
          <w:sz w:val="20"/>
          <w:szCs w:val="20"/>
        </w:rPr>
        <w:t xml:space="preserve"> </w:t>
      </w:r>
      <w:r w:rsidR="0093212A" w:rsidRPr="000A5468">
        <w:rPr>
          <w:rFonts w:cstheme="minorHAnsi"/>
          <w:i/>
          <w:sz w:val="20"/>
          <w:szCs w:val="20"/>
        </w:rPr>
        <w:t>http://www.compact.org/initiatives/civic</w:t>
      </w:r>
      <w:r w:rsidR="0093212A" w:rsidRPr="000A5468">
        <w:rPr>
          <w:rFonts w:ascii="Calibri" w:hAnsi="Calibri" w:cstheme="minorHAnsi"/>
          <w:i/>
          <w:sz w:val="20"/>
          <w:szCs w:val="20"/>
        </w:rPr>
        <w:t>‐</w:t>
      </w:r>
      <w:r w:rsidR="0093212A" w:rsidRPr="000A5468">
        <w:rPr>
          <w:rFonts w:cstheme="minorHAnsi"/>
          <w:i/>
          <w:sz w:val="20"/>
          <w:szCs w:val="20"/>
        </w:rPr>
        <w:t>engagement</w:t>
      </w:r>
      <w:r w:rsidR="0093212A" w:rsidRPr="000A5468">
        <w:rPr>
          <w:rFonts w:ascii="Calibri" w:hAnsi="Calibri" w:cstheme="minorHAnsi"/>
          <w:i/>
          <w:sz w:val="20"/>
          <w:szCs w:val="20"/>
        </w:rPr>
        <w:t>‐</w:t>
      </w:r>
      <w:r w:rsidR="0093212A" w:rsidRPr="000A5468">
        <w:rPr>
          <w:rFonts w:cstheme="minorHAnsi"/>
          <w:i/>
          <w:sz w:val="20"/>
          <w:szCs w:val="20"/>
        </w:rPr>
        <w:t>at</w:t>
      </w:r>
      <w:r w:rsidR="0093212A" w:rsidRPr="000A5468">
        <w:rPr>
          <w:rFonts w:ascii="Calibri" w:hAnsi="Calibri" w:cstheme="minorHAnsi"/>
          <w:i/>
          <w:sz w:val="20"/>
          <w:szCs w:val="20"/>
        </w:rPr>
        <w:t>‐</w:t>
      </w:r>
      <w:r w:rsidR="0093212A" w:rsidRPr="000A5468">
        <w:rPr>
          <w:rFonts w:cstheme="minorHAnsi"/>
          <w:i/>
          <w:sz w:val="20"/>
          <w:szCs w:val="20"/>
        </w:rPr>
        <w:t>research</w:t>
      </w:r>
      <w:r w:rsidR="0093212A" w:rsidRPr="000A5468">
        <w:rPr>
          <w:rFonts w:ascii="Calibri" w:hAnsi="Calibri" w:cstheme="minorHAnsi"/>
          <w:i/>
          <w:sz w:val="20"/>
          <w:szCs w:val="20"/>
        </w:rPr>
        <w:t>‐</w:t>
      </w:r>
      <w:r w:rsidR="0093212A" w:rsidRPr="000A5468">
        <w:rPr>
          <w:rFonts w:cstheme="minorHAnsi"/>
          <w:i/>
          <w:sz w:val="20"/>
          <w:szCs w:val="20"/>
        </w:rPr>
        <w:t>universities/trucen</w:t>
      </w:r>
      <w:r w:rsidR="0093212A" w:rsidRPr="000A5468">
        <w:rPr>
          <w:rFonts w:ascii="Calibri" w:hAnsi="Calibri" w:cstheme="minorHAnsi"/>
          <w:i/>
          <w:sz w:val="20"/>
          <w:szCs w:val="20"/>
        </w:rPr>
        <w:t>‐</w:t>
      </w:r>
      <w:r w:rsidR="0093212A" w:rsidRPr="000A5468">
        <w:rPr>
          <w:rFonts w:cstheme="minorHAnsi"/>
          <w:i/>
          <w:sz w:val="20"/>
          <w:szCs w:val="20"/>
        </w:rPr>
        <w:t>intr/</w:t>
      </w:r>
      <w:r w:rsidR="0093212A" w:rsidRPr="000A5468">
        <w:rPr>
          <w:rFonts w:cstheme="minorHAnsi"/>
          <w:color w:val="000000"/>
          <w:sz w:val="20"/>
          <w:szCs w:val="20"/>
        </w:rPr>
        <w:br/>
        <w:t>Th</w:t>
      </w:r>
      <w:r w:rsidR="009A52D6" w:rsidRPr="000A5468">
        <w:rPr>
          <w:rFonts w:cstheme="minorHAnsi"/>
          <w:color w:val="000000"/>
          <w:sz w:val="20"/>
          <w:szCs w:val="20"/>
        </w:rPr>
        <w:t>e</w:t>
      </w:r>
      <w:r w:rsidR="0093212A" w:rsidRPr="000A5468">
        <w:rPr>
          <w:rFonts w:cstheme="minorHAnsi"/>
          <w:color w:val="000000"/>
          <w:sz w:val="20"/>
          <w:szCs w:val="20"/>
        </w:rPr>
        <w:t>s</w:t>
      </w:r>
      <w:r w:rsidR="009A52D6" w:rsidRPr="000A5468">
        <w:rPr>
          <w:rFonts w:cstheme="minorHAnsi"/>
          <w:color w:val="000000"/>
          <w:sz w:val="20"/>
          <w:szCs w:val="20"/>
        </w:rPr>
        <w:t>e</w:t>
      </w:r>
      <w:r w:rsidR="0093212A" w:rsidRPr="000A5468">
        <w:rPr>
          <w:rFonts w:cstheme="minorHAnsi"/>
          <w:color w:val="000000"/>
          <w:sz w:val="20"/>
          <w:szCs w:val="20"/>
        </w:rPr>
        <w:t xml:space="preserve"> page</w:t>
      </w:r>
      <w:r w:rsidR="009A52D6" w:rsidRPr="000A5468">
        <w:rPr>
          <w:rFonts w:cstheme="minorHAnsi"/>
          <w:color w:val="000000"/>
          <w:sz w:val="20"/>
          <w:szCs w:val="20"/>
        </w:rPr>
        <w:t>s</w:t>
      </w:r>
      <w:r w:rsidR="0093212A" w:rsidRPr="000A5468">
        <w:rPr>
          <w:rFonts w:cstheme="minorHAnsi"/>
          <w:color w:val="000000"/>
          <w:sz w:val="20"/>
          <w:szCs w:val="20"/>
        </w:rPr>
        <w:t xml:space="preserve"> offer an annotated bibliography of articles and resources related to:</w:t>
      </w:r>
      <w:r w:rsidR="0093212A" w:rsidRPr="000A5468">
        <w:rPr>
          <w:rFonts w:cstheme="minorHAnsi"/>
          <w:b/>
          <w:color w:val="000000"/>
          <w:sz w:val="20"/>
          <w:szCs w:val="20"/>
        </w:rPr>
        <w:t xml:space="preserve"> </w:t>
      </w:r>
      <w:r w:rsidR="0093212A" w:rsidRPr="000A5468">
        <w:rPr>
          <w:rStyle w:val="Strong"/>
          <w:rFonts w:cstheme="minorHAnsi"/>
          <w:b w:val="0"/>
          <w:sz w:val="20"/>
          <w:szCs w:val="20"/>
        </w:rPr>
        <w:t>Rationales for Giving Engaged Scholarship Standing in Re</w:t>
      </w:r>
      <w:r w:rsidR="000A6B6D">
        <w:rPr>
          <w:rStyle w:val="Strong"/>
          <w:rFonts w:cstheme="minorHAnsi"/>
          <w:b w:val="0"/>
          <w:sz w:val="20"/>
          <w:szCs w:val="20"/>
        </w:rPr>
        <w:t>search University RPT Processes;</w:t>
      </w:r>
      <w:r w:rsidR="0093212A" w:rsidRPr="000A5468">
        <w:rPr>
          <w:rStyle w:val="Strong"/>
          <w:rFonts w:cstheme="minorHAnsi"/>
          <w:b w:val="0"/>
          <w:sz w:val="20"/>
          <w:szCs w:val="20"/>
        </w:rPr>
        <w:t xml:space="preserve"> Policies for Encouraging and Assessing Engag</w:t>
      </w:r>
      <w:r w:rsidR="000A6B6D">
        <w:rPr>
          <w:rStyle w:val="Strong"/>
          <w:rFonts w:cstheme="minorHAnsi"/>
          <w:b w:val="0"/>
          <w:sz w:val="20"/>
          <w:szCs w:val="20"/>
        </w:rPr>
        <w:t>ed Scholarship in RPT Processes;</w:t>
      </w:r>
      <w:r w:rsidR="0093212A" w:rsidRPr="000A5468">
        <w:rPr>
          <w:rStyle w:val="Strong"/>
          <w:rFonts w:cstheme="minorHAnsi"/>
          <w:b w:val="0"/>
          <w:sz w:val="20"/>
          <w:szCs w:val="20"/>
        </w:rPr>
        <w:t xml:space="preserve"> Evaluation Criteria for Assessing Engag</w:t>
      </w:r>
      <w:r w:rsidR="000A6B6D">
        <w:rPr>
          <w:rStyle w:val="Strong"/>
          <w:rFonts w:cstheme="minorHAnsi"/>
          <w:b w:val="0"/>
          <w:sz w:val="20"/>
          <w:szCs w:val="20"/>
        </w:rPr>
        <w:t>ed Scholarship in RPT Processes;</w:t>
      </w:r>
      <w:r w:rsidR="0093212A" w:rsidRPr="000A5468">
        <w:rPr>
          <w:rStyle w:val="Strong"/>
          <w:rFonts w:cstheme="minorHAnsi"/>
          <w:b w:val="0"/>
          <w:sz w:val="20"/>
          <w:szCs w:val="20"/>
        </w:rPr>
        <w:t xml:space="preserve"> Demonstrating Quality and</w:t>
      </w:r>
      <w:r w:rsidR="000A6B6D">
        <w:rPr>
          <w:rStyle w:val="Strong"/>
          <w:rFonts w:cstheme="minorHAnsi"/>
          <w:b w:val="0"/>
          <w:sz w:val="20"/>
          <w:szCs w:val="20"/>
        </w:rPr>
        <w:t xml:space="preserve"> Impacts of Engaged Scholarship;</w:t>
      </w:r>
      <w:r w:rsidR="0093212A" w:rsidRPr="000A5468">
        <w:rPr>
          <w:rStyle w:val="Strong"/>
          <w:rFonts w:cstheme="minorHAnsi"/>
          <w:b w:val="0"/>
          <w:sz w:val="20"/>
          <w:szCs w:val="20"/>
        </w:rPr>
        <w:t xml:space="preserve"> Tenure and Promotion Portfolio Exemplars</w:t>
      </w:r>
      <w:r w:rsidR="000A6B6D">
        <w:rPr>
          <w:rStyle w:val="Strong"/>
          <w:rFonts w:cstheme="minorHAnsi"/>
          <w:b w:val="0"/>
          <w:sz w:val="20"/>
          <w:szCs w:val="20"/>
        </w:rPr>
        <w:t>.</w:t>
      </w:r>
      <w:r w:rsidR="009A52D6" w:rsidRPr="000A5468">
        <w:rPr>
          <w:rStyle w:val="Strong"/>
          <w:rFonts w:cstheme="minorHAnsi"/>
          <w:b w:val="0"/>
          <w:sz w:val="20"/>
          <w:szCs w:val="20"/>
        </w:rPr>
        <w:br/>
      </w:r>
      <w:r w:rsidR="009A52D6" w:rsidRPr="000A5468">
        <w:rPr>
          <w:rStyle w:val="Strong"/>
          <w:rFonts w:cstheme="minorHAnsi"/>
          <w:b w:val="0"/>
          <w:sz w:val="20"/>
          <w:szCs w:val="20"/>
        </w:rPr>
        <w:br/>
      </w:r>
      <w:r w:rsidR="009A52D6" w:rsidRPr="000A5468">
        <w:rPr>
          <w:rFonts w:cstheme="minorHAnsi"/>
          <w:b/>
          <w:color w:val="000000"/>
          <w:sz w:val="20"/>
          <w:szCs w:val="20"/>
        </w:rPr>
        <w:t>Community-Campus Partnerships for Health</w:t>
      </w:r>
      <w:r w:rsidR="009A52D6" w:rsidRPr="000A5468">
        <w:rPr>
          <w:rFonts w:cstheme="minorHAnsi"/>
          <w:color w:val="000000"/>
          <w:sz w:val="20"/>
          <w:szCs w:val="20"/>
        </w:rPr>
        <w:br/>
      </w:r>
      <w:hyperlink r:id="rId7" w:history="1">
        <w:r w:rsidR="009A52D6" w:rsidRPr="000A5468">
          <w:rPr>
            <w:rStyle w:val="Hyperlink"/>
            <w:rFonts w:cstheme="minorHAnsi"/>
            <w:i/>
            <w:color w:val="auto"/>
            <w:sz w:val="20"/>
            <w:szCs w:val="20"/>
            <w:u w:val="none"/>
          </w:rPr>
          <w:t>http://depts.washington.edu/ccph/scholarship.html</w:t>
        </w:r>
      </w:hyperlink>
      <w:r w:rsidR="009A52D6" w:rsidRPr="000A5468">
        <w:rPr>
          <w:rFonts w:cstheme="minorHAnsi"/>
          <w:color w:val="000000"/>
          <w:sz w:val="20"/>
          <w:szCs w:val="20"/>
        </w:rPr>
        <w:br/>
        <w:t>This webpage provides an overview of the field of community-engaged scholarship (CE</w:t>
      </w:r>
      <w:r w:rsidR="000A6B6D">
        <w:rPr>
          <w:rFonts w:cstheme="minorHAnsi"/>
          <w:color w:val="000000"/>
          <w:sz w:val="20"/>
          <w:szCs w:val="20"/>
        </w:rPr>
        <w:t>S) including defining key terms; outlining assessment standards;</w:t>
      </w:r>
      <w:r w:rsidR="009A52D6" w:rsidRPr="000A5468">
        <w:rPr>
          <w:rFonts w:cstheme="minorHAnsi"/>
          <w:color w:val="000000"/>
          <w:sz w:val="20"/>
          <w:szCs w:val="20"/>
        </w:rPr>
        <w:t xml:space="preserve"> reviewing the support for and barriers to promoting CES</w:t>
      </w:r>
      <w:r w:rsidR="000A6B6D">
        <w:rPr>
          <w:rFonts w:cstheme="minorHAnsi"/>
          <w:color w:val="000000"/>
          <w:sz w:val="20"/>
          <w:szCs w:val="20"/>
        </w:rPr>
        <w:t>;</w:t>
      </w:r>
      <w:r w:rsidR="005168EF">
        <w:rPr>
          <w:rFonts w:cstheme="minorHAnsi"/>
          <w:color w:val="000000"/>
          <w:sz w:val="20"/>
          <w:szCs w:val="20"/>
        </w:rPr>
        <w:t xml:space="preserve"> serving as repository for sample P&amp;T policies and related university documents that include CES;</w:t>
      </w:r>
      <w:r w:rsidR="009A52D6" w:rsidRPr="000A5468">
        <w:rPr>
          <w:rFonts w:cstheme="minorHAnsi"/>
          <w:color w:val="000000"/>
          <w:sz w:val="20"/>
          <w:szCs w:val="20"/>
        </w:rPr>
        <w:t xml:space="preserve"> and discussing current efforts underway in promoting CES in academic institutions and other organizations</w:t>
      </w:r>
      <w:r w:rsidR="005168EF">
        <w:rPr>
          <w:rFonts w:cstheme="minorHAnsi"/>
          <w:color w:val="000000"/>
          <w:sz w:val="20"/>
          <w:szCs w:val="20"/>
        </w:rPr>
        <w:t>, particularly around expanding on the traditional understanding of peer review</w:t>
      </w:r>
      <w:r w:rsidR="009A52D6" w:rsidRPr="000A5468">
        <w:rPr>
          <w:rFonts w:cstheme="minorHAnsi"/>
          <w:color w:val="000000"/>
          <w:sz w:val="20"/>
          <w:szCs w:val="20"/>
        </w:rPr>
        <w:t>.</w:t>
      </w:r>
      <w:r w:rsidR="008A5EF6" w:rsidRPr="000A5468">
        <w:rPr>
          <w:rFonts w:cstheme="minorHAnsi"/>
          <w:color w:val="000000"/>
          <w:sz w:val="20"/>
          <w:szCs w:val="20"/>
        </w:rPr>
        <w:t xml:space="preserve">  The website includes an annotated bibliography of issues related to promoting community engagement and community-engaged scholarshi</w:t>
      </w:r>
      <w:r w:rsidR="005168EF">
        <w:rPr>
          <w:rFonts w:cstheme="minorHAnsi"/>
          <w:color w:val="000000"/>
          <w:sz w:val="20"/>
          <w:szCs w:val="20"/>
        </w:rPr>
        <w:t>p, links to sample P&amp;T</w:t>
      </w:r>
      <w:r w:rsidR="00391749">
        <w:rPr>
          <w:rFonts w:cstheme="minorHAnsi"/>
          <w:color w:val="000000"/>
          <w:sz w:val="20"/>
          <w:szCs w:val="20"/>
        </w:rPr>
        <w:t xml:space="preserve"> guidelines that integrate CES </w:t>
      </w:r>
      <w:r w:rsidR="005168EF">
        <w:rPr>
          <w:rFonts w:cstheme="minorHAnsi"/>
          <w:color w:val="000000"/>
          <w:sz w:val="20"/>
          <w:szCs w:val="20"/>
        </w:rPr>
        <w:t xml:space="preserve">and an </w:t>
      </w:r>
      <w:hyperlink r:id="rId8" w:history="1">
        <w:r w:rsidR="005168EF" w:rsidRPr="00333436">
          <w:rPr>
            <w:rStyle w:val="Hyperlink"/>
            <w:rFonts w:cstheme="minorHAnsi"/>
            <w:sz w:val="20"/>
            <w:szCs w:val="20"/>
          </w:rPr>
          <w:t>in-depth toolkit for faculty and community-engagement professionals</w:t>
        </w:r>
      </w:hyperlink>
      <w:r w:rsidR="008A5EF6" w:rsidRPr="000A5468">
        <w:rPr>
          <w:rFonts w:cstheme="minorHAnsi"/>
          <w:color w:val="000000"/>
          <w:sz w:val="20"/>
          <w:szCs w:val="20"/>
        </w:rPr>
        <w:t xml:space="preserve">. </w:t>
      </w:r>
      <w:r w:rsidR="0093212A" w:rsidRPr="000A5468">
        <w:rPr>
          <w:rStyle w:val="Strong"/>
          <w:rFonts w:cstheme="minorHAnsi"/>
          <w:b w:val="0"/>
          <w:sz w:val="20"/>
          <w:szCs w:val="20"/>
        </w:rPr>
        <w:br/>
      </w:r>
      <w:r w:rsidR="0025225C" w:rsidRPr="000A5468">
        <w:rPr>
          <w:rFonts w:eastAsia="Times New Roman" w:cstheme="minorHAnsi"/>
          <w:b/>
          <w:bCs/>
          <w:sz w:val="20"/>
          <w:szCs w:val="20"/>
        </w:rPr>
        <w:br/>
      </w:r>
      <w:r w:rsidR="00606AE0" w:rsidRPr="000A5468">
        <w:rPr>
          <w:rFonts w:eastAsia="Times New Roman" w:cstheme="minorHAnsi"/>
          <w:b/>
          <w:sz w:val="20"/>
          <w:szCs w:val="20"/>
        </w:rPr>
        <w:t>Community-Engaged Scholarship for Health</w:t>
      </w:r>
      <w:r w:rsidR="00606AE0" w:rsidRPr="000A5468">
        <w:rPr>
          <w:rFonts w:eastAsia="Times New Roman" w:cstheme="minorHAnsi"/>
          <w:b/>
          <w:sz w:val="20"/>
          <w:szCs w:val="20"/>
        </w:rPr>
        <w:br/>
      </w:r>
      <w:r w:rsidR="00606AE0" w:rsidRPr="000A5468">
        <w:rPr>
          <w:rFonts w:eastAsia="Times New Roman" w:cstheme="minorHAnsi"/>
          <w:sz w:val="20"/>
          <w:szCs w:val="20"/>
        </w:rPr>
        <w:t>http://www.ces4health.info/</w:t>
      </w:r>
      <w:r w:rsidR="00606AE0" w:rsidRPr="000A5468">
        <w:rPr>
          <w:rFonts w:eastAsia="Times New Roman" w:cstheme="minorHAnsi"/>
          <w:sz w:val="20"/>
          <w:szCs w:val="20"/>
        </w:rPr>
        <w:br/>
        <w:t>CES4health.info is an “online mechanism for peer-reviewing, publishing, and disseminating products of health-related community-engaged scholarship that are in forms other than journal articles.”</w:t>
      </w:r>
    </w:p>
    <w:p w:rsidR="0025225C" w:rsidRPr="000A5468" w:rsidRDefault="0025225C" w:rsidP="0025225C">
      <w:pPr>
        <w:rPr>
          <w:rFonts w:cstheme="minorHAnsi"/>
          <w:b/>
          <w:sz w:val="20"/>
          <w:szCs w:val="20"/>
        </w:rPr>
      </w:pPr>
      <w:r w:rsidRPr="000A5468">
        <w:rPr>
          <w:rFonts w:eastAsia="Times New Roman" w:cstheme="minorHAnsi"/>
          <w:b/>
          <w:sz w:val="20"/>
          <w:szCs w:val="20"/>
        </w:rPr>
        <w:t>Eastern Region Campus Compact Conference</w:t>
      </w:r>
      <w:r w:rsidRPr="000A5468">
        <w:rPr>
          <w:rFonts w:eastAsia="Times New Roman" w:cstheme="minorHAnsi"/>
          <w:sz w:val="20"/>
          <w:szCs w:val="20"/>
        </w:rPr>
        <w:br/>
      </w:r>
      <w:hyperlink r:id="rId9" w:history="1">
        <w:r w:rsidRPr="000A5468">
          <w:rPr>
            <w:rStyle w:val="Hyperlink"/>
            <w:rFonts w:eastAsia="Times New Roman" w:cstheme="minorHAnsi"/>
            <w:color w:val="auto"/>
            <w:sz w:val="20"/>
            <w:szCs w:val="20"/>
            <w:u w:val="none"/>
          </w:rPr>
          <w:t>http://ercompact.org/?page_id=39</w:t>
        </w:r>
      </w:hyperlink>
      <w:r w:rsidRPr="000A5468">
        <w:rPr>
          <w:rFonts w:cstheme="minorHAnsi"/>
          <w:sz w:val="20"/>
          <w:szCs w:val="20"/>
        </w:rPr>
        <w:br/>
      </w:r>
      <w:r w:rsidRPr="000A5468">
        <w:rPr>
          <w:sz w:val="20"/>
          <w:szCs w:val="20"/>
        </w:rPr>
        <w:t>“ERCC is dedicated to m</w:t>
      </w:r>
      <w:r w:rsidRPr="000A5468">
        <w:rPr>
          <w:bCs/>
          <w:sz w:val="20"/>
          <w:szCs w:val="20"/>
        </w:rPr>
        <w:t>oving us forward</w:t>
      </w:r>
      <w:r w:rsidRPr="000A5468">
        <w:rPr>
          <w:sz w:val="20"/>
          <w:szCs w:val="20"/>
        </w:rPr>
        <w:t xml:space="preserve"> in fulfilling the civic mission of higher education. ERCC has identified a special focus, however, on strengthening institutional cultures and aligning institutional incentives to be consonant with the aspirations of the </w:t>
      </w:r>
      <w:hyperlink r:id="rId10" w:tgtFrame="_blank" w:history="1">
        <w:r w:rsidRPr="000A5468">
          <w:rPr>
            <w:rStyle w:val="Hyperlink"/>
            <w:sz w:val="20"/>
            <w:szCs w:val="20"/>
          </w:rPr>
          <w:t>Carnegie Classification for Community Engagement</w:t>
        </w:r>
      </w:hyperlink>
      <w:r w:rsidRPr="000A5468">
        <w:rPr>
          <w:sz w:val="20"/>
          <w:szCs w:val="20"/>
        </w:rPr>
        <w:t xml:space="preserve">.” The website includes archives with videos and resources from past conferences. </w:t>
      </w:r>
    </w:p>
    <w:p w:rsidR="0025225C" w:rsidRPr="000A5468" w:rsidRDefault="0025225C" w:rsidP="002340EB">
      <w:pPr>
        <w:rPr>
          <w:rStyle w:val="Strong"/>
          <w:rFonts w:cstheme="minorHAnsi"/>
          <w:sz w:val="20"/>
          <w:szCs w:val="20"/>
        </w:rPr>
      </w:pPr>
      <w:r w:rsidRPr="000A5468">
        <w:rPr>
          <w:rStyle w:val="Strong"/>
          <w:rFonts w:cstheme="minorHAnsi"/>
          <w:sz w:val="20"/>
          <w:szCs w:val="20"/>
        </w:rPr>
        <w:t>Imagining America</w:t>
      </w:r>
      <w:r w:rsidRPr="000A5468">
        <w:rPr>
          <w:rStyle w:val="Strong"/>
          <w:rFonts w:cstheme="minorHAnsi"/>
          <w:sz w:val="20"/>
          <w:szCs w:val="20"/>
        </w:rPr>
        <w:br/>
      </w:r>
      <w:r w:rsidRPr="000A5468">
        <w:rPr>
          <w:rStyle w:val="Strong"/>
          <w:rFonts w:cstheme="minorHAnsi"/>
          <w:b w:val="0"/>
          <w:sz w:val="20"/>
          <w:szCs w:val="20"/>
        </w:rPr>
        <w:t>http://imaginingamerica.org/</w:t>
      </w:r>
      <w:r w:rsidRPr="000A5468">
        <w:rPr>
          <w:rStyle w:val="Strong"/>
          <w:rFonts w:cstheme="minorHAnsi"/>
          <w:sz w:val="20"/>
          <w:szCs w:val="20"/>
        </w:rPr>
        <w:br/>
      </w:r>
      <w:r w:rsidRPr="000A5468">
        <w:rPr>
          <w:rStyle w:val="Strong"/>
          <w:b w:val="0"/>
          <w:sz w:val="20"/>
          <w:szCs w:val="20"/>
        </w:rPr>
        <w:t>The Imagining America website exists to “share a profusion of projects and programs related to how artists and scholars, either through or in collaboration with higher education, contribute to the world.</w:t>
      </w:r>
      <w:r w:rsidRPr="000A5468">
        <w:rPr>
          <w:sz w:val="20"/>
          <w:szCs w:val="20"/>
        </w:rPr>
        <w:t xml:space="preserve"> We are an organization grounded in scholarship and creative practice, looking to translate our best thinking and creation into actions. </w:t>
      </w:r>
      <w:r w:rsidRPr="000A5468">
        <w:rPr>
          <w:sz w:val="20"/>
          <w:szCs w:val="20"/>
        </w:rPr>
        <w:lastRenderedPageBreak/>
        <w:t>Whether exploring how arts contribute to community development, recognizing the wealth of knowledge produced through partnerships bringing together community and campus stakeholders, or making it possible for a faculty member’s public scholarship to “count” when he or she comes up for tenure and promotion, IA is committed to higher education as an active agent for the public good.”  Of particular interest, is their Tenure Team Initiative on Public Scholarship which seeks “to change campus policies related to tenure and promotion in order to free faculty, administrators, and students from the impediments of undertaking publicly engaged art and scholarship, and to ensure such work is formally recognized as a legitimate scholarly and creative activity.”</w:t>
      </w:r>
    </w:p>
    <w:p w:rsidR="00842540" w:rsidRPr="000A5468" w:rsidRDefault="009B0936" w:rsidP="0025225C">
      <w:pPr>
        <w:rPr>
          <w:rFonts w:cstheme="minorHAnsi"/>
          <w:sz w:val="20"/>
          <w:szCs w:val="20"/>
        </w:rPr>
      </w:pPr>
      <w:r w:rsidRPr="000A5468">
        <w:rPr>
          <w:rStyle w:val="Strong"/>
          <w:rFonts w:cstheme="minorHAnsi"/>
          <w:sz w:val="20"/>
          <w:szCs w:val="20"/>
        </w:rPr>
        <w:t>International Association for Research on Service-Learning and Community Engagement</w:t>
      </w:r>
      <w:r w:rsidRPr="000A5468">
        <w:rPr>
          <w:rStyle w:val="Strong"/>
          <w:rFonts w:cstheme="minorHAnsi"/>
          <w:sz w:val="20"/>
          <w:szCs w:val="20"/>
        </w:rPr>
        <w:br/>
      </w:r>
      <w:r w:rsidRPr="000A5468">
        <w:rPr>
          <w:rStyle w:val="Strong"/>
          <w:rFonts w:cstheme="minorHAnsi"/>
          <w:b w:val="0"/>
          <w:sz w:val="20"/>
          <w:szCs w:val="20"/>
        </w:rPr>
        <w:t>http://www.researchslce.org/</w:t>
      </w:r>
      <w:r w:rsidRPr="000A5468">
        <w:rPr>
          <w:rStyle w:val="Strong"/>
          <w:rFonts w:cstheme="minorHAnsi"/>
          <w:sz w:val="20"/>
          <w:szCs w:val="20"/>
        </w:rPr>
        <w:br/>
      </w:r>
      <w:r w:rsidRPr="000A5468">
        <w:rPr>
          <w:sz w:val="20"/>
          <w:szCs w:val="20"/>
        </w:rPr>
        <w:t>“The International Association for Research on Service-Learning and Community Engagement (IARSLCE) is an international non-profit organization devoted to promoting research and discussion about service-learning and community engagement.”  The website includes a page devoted to conference proceedings where Power Point presentations and resources from past conference are available.</w:t>
      </w:r>
      <w:r w:rsidR="0093212A" w:rsidRPr="000A5468">
        <w:rPr>
          <w:rStyle w:val="Strong"/>
          <w:rFonts w:cstheme="minorHAnsi"/>
          <w:sz w:val="20"/>
          <w:szCs w:val="20"/>
        </w:rPr>
        <w:br/>
      </w:r>
      <w:r w:rsidR="000A5468">
        <w:rPr>
          <w:rFonts w:cstheme="minorHAnsi"/>
          <w:b/>
          <w:sz w:val="20"/>
          <w:szCs w:val="20"/>
        </w:rPr>
        <w:br/>
      </w:r>
      <w:r w:rsidR="0093212A" w:rsidRPr="000A5468">
        <w:rPr>
          <w:rFonts w:cstheme="minorHAnsi"/>
          <w:b/>
          <w:sz w:val="20"/>
          <w:szCs w:val="20"/>
        </w:rPr>
        <w:t>National A</w:t>
      </w:r>
      <w:r w:rsidR="008A5EF6" w:rsidRPr="000A5468">
        <w:rPr>
          <w:rFonts w:cstheme="minorHAnsi"/>
          <w:b/>
          <w:sz w:val="20"/>
          <w:szCs w:val="20"/>
        </w:rPr>
        <w:t>cademy for Academic Leadership</w:t>
      </w:r>
      <w:r w:rsidR="008A5EF6" w:rsidRPr="000A5468">
        <w:rPr>
          <w:rFonts w:cstheme="minorHAnsi"/>
          <w:sz w:val="20"/>
          <w:szCs w:val="20"/>
        </w:rPr>
        <w:br/>
      </w:r>
      <w:hyperlink r:id="rId11" w:history="1">
        <w:r w:rsidR="008A5EF6" w:rsidRPr="000A5468">
          <w:rPr>
            <w:rStyle w:val="Hyperlink"/>
            <w:rFonts w:cstheme="minorHAnsi"/>
            <w:i/>
            <w:color w:val="auto"/>
            <w:sz w:val="20"/>
            <w:szCs w:val="20"/>
            <w:u w:val="none"/>
          </w:rPr>
          <w:t>http://www.thenationalacademy.org/rewards/biblio.html</w:t>
        </w:r>
      </w:hyperlink>
      <w:r w:rsidR="008A5EF6" w:rsidRPr="000A5468">
        <w:rPr>
          <w:rFonts w:cstheme="minorHAnsi"/>
          <w:sz w:val="20"/>
          <w:szCs w:val="20"/>
        </w:rPr>
        <w:br/>
        <w:t>Includes an annotated bibliography of readings and websites related to f</w:t>
      </w:r>
      <w:r w:rsidR="0093212A" w:rsidRPr="000A5468">
        <w:rPr>
          <w:rFonts w:cstheme="minorHAnsi"/>
          <w:sz w:val="20"/>
          <w:szCs w:val="20"/>
        </w:rPr>
        <w:t>aculty rewards and scholarship</w:t>
      </w:r>
      <w:r w:rsidR="0093212A" w:rsidRPr="000A5468">
        <w:rPr>
          <w:rFonts w:cstheme="minorHAnsi"/>
          <w:b/>
          <w:sz w:val="20"/>
          <w:szCs w:val="20"/>
        </w:rPr>
        <w:t xml:space="preserve"> </w:t>
      </w:r>
      <w:r w:rsidR="0093212A" w:rsidRPr="000A5468">
        <w:rPr>
          <w:rFonts w:cstheme="minorHAnsi"/>
          <w:b/>
          <w:sz w:val="20"/>
          <w:szCs w:val="20"/>
        </w:rPr>
        <w:br/>
      </w:r>
      <w:r w:rsidR="000A5468">
        <w:rPr>
          <w:rFonts w:eastAsia="Times New Roman" w:cstheme="minorHAnsi"/>
          <w:b/>
          <w:bCs/>
          <w:sz w:val="20"/>
          <w:szCs w:val="20"/>
        </w:rPr>
        <w:br/>
      </w:r>
      <w:r w:rsidR="0025225C" w:rsidRPr="000A5468">
        <w:rPr>
          <w:rFonts w:eastAsia="Times New Roman" w:cstheme="minorHAnsi"/>
          <w:b/>
          <w:bCs/>
          <w:sz w:val="20"/>
          <w:szCs w:val="20"/>
        </w:rPr>
        <w:t>National Collaborative for the Study of University Engagement</w:t>
      </w:r>
      <w:r w:rsidR="0025225C" w:rsidRPr="000A5468">
        <w:rPr>
          <w:rFonts w:eastAsia="Times New Roman" w:cstheme="minorHAnsi"/>
          <w:b/>
          <w:bCs/>
          <w:sz w:val="20"/>
          <w:szCs w:val="20"/>
        </w:rPr>
        <w:br/>
      </w:r>
      <w:hyperlink r:id="rId12" w:history="1">
        <w:r w:rsidR="0025225C" w:rsidRPr="000A5468">
          <w:rPr>
            <w:rStyle w:val="Hyperlink"/>
            <w:rFonts w:eastAsia="Times New Roman" w:cstheme="minorHAnsi"/>
            <w:bCs/>
            <w:color w:val="auto"/>
            <w:sz w:val="20"/>
            <w:szCs w:val="20"/>
            <w:u w:val="none"/>
          </w:rPr>
          <w:t>http://ncsue.msu.edu/research/leadingcampusconversations.aspx</w:t>
        </w:r>
      </w:hyperlink>
      <w:r w:rsidR="0025225C" w:rsidRPr="000A5468">
        <w:rPr>
          <w:rFonts w:cstheme="minorHAnsi"/>
          <w:sz w:val="20"/>
          <w:szCs w:val="20"/>
        </w:rPr>
        <w:br/>
      </w:r>
      <w:r w:rsidR="0025225C" w:rsidRPr="000A5468">
        <w:rPr>
          <w:rStyle w:val="Strong"/>
          <w:rFonts w:cstheme="minorHAnsi"/>
          <w:b w:val="0"/>
          <w:sz w:val="20"/>
          <w:szCs w:val="20"/>
        </w:rPr>
        <w:t>“The National Collaborative for the Study of University Engagement (NCSUE)</w:t>
      </w:r>
      <w:r w:rsidR="0025225C" w:rsidRPr="000A5468">
        <w:rPr>
          <w:rFonts w:cstheme="minorHAnsi"/>
          <w:b/>
          <w:sz w:val="20"/>
          <w:szCs w:val="20"/>
        </w:rPr>
        <w:t xml:space="preserve"> </w:t>
      </w:r>
      <w:r w:rsidR="0025225C" w:rsidRPr="000A5468">
        <w:rPr>
          <w:rFonts w:cstheme="minorHAnsi"/>
          <w:sz w:val="20"/>
          <w:szCs w:val="20"/>
        </w:rPr>
        <w:t xml:space="preserve">strives to be a preeminent innovator within the scholarly movement of </w:t>
      </w:r>
      <w:r w:rsidR="0025225C" w:rsidRPr="000A5468">
        <w:rPr>
          <w:rStyle w:val="Emphasis"/>
          <w:rFonts w:cstheme="minorHAnsi"/>
          <w:sz w:val="20"/>
          <w:szCs w:val="20"/>
        </w:rPr>
        <w:t>engagement</w:t>
      </w:r>
      <w:r w:rsidR="0025225C" w:rsidRPr="000A5468">
        <w:rPr>
          <w:rFonts w:cstheme="minorHAnsi"/>
          <w:sz w:val="20"/>
          <w:szCs w:val="20"/>
        </w:rPr>
        <w:t xml:space="preserve"> in higher education. NCSUE deepens the study of and discussion about two key principles</w:t>
      </w:r>
      <w:r w:rsidR="0025225C" w:rsidRPr="000A5468">
        <w:rPr>
          <w:rFonts w:cstheme="minorHAnsi"/>
          <w:b/>
          <w:sz w:val="20"/>
          <w:szCs w:val="20"/>
        </w:rPr>
        <w:t>—</w:t>
      </w:r>
      <w:r w:rsidR="0025225C" w:rsidRPr="000A5468">
        <w:rPr>
          <w:rStyle w:val="Strong"/>
          <w:rFonts w:cstheme="minorHAnsi"/>
          <w:b w:val="0"/>
          <w:sz w:val="20"/>
          <w:szCs w:val="20"/>
        </w:rPr>
        <w:t>engaged scholarship</w:t>
      </w:r>
      <w:r w:rsidR="0025225C" w:rsidRPr="000A5468">
        <w:rPr>
          <w:rFonts w:cstheme="minorHAnsi"/>
          <w:b/>
          <w:sz w:val="20"/>
          <w:szCs w:val="20"/>
        </w:rPr>
        <w:t xml:space="preserve"> </w:t>
      </w:r>
      <w:r w:rsidR="0025225C" w:rsidRPr="000A5468">
        <w:rPr>
          <w:rFonts w:cstheme="minorHAnsi"/>
          <w:sz w:val="20"/>
          <w:szCs w:val="20"/>
        </w:rPr>
        <w:t xml:space="preserve">and the </w:t>
      </w:r>
      <w:r w:rsidR="0025225C" w:rsidRPr="000A5468">
        <w:rPr>
          <w:rStyle w:val="Strong"/>
          <w:rFonts w:cstheme="minorHAnsi"/>
          <w:b w:val="0"/>
          <w:sz w:val="20"/>
          <w:szCs w:val="20"/>
        </w:rPr>
        <w:t>scholarship of engagement</w:t>
      </w:r>
      <w:r w:rsidR="0025225C" w:rsidRPr="000A5468">
        <w:rPr>
          <w:rFonts w:cstheme="minorHAnsi"/>
          <w:sz w:val="20"/>
          <w:szCs w:val="20"/>
        </w:rPr>
        <w:t>—to inform and advance the national agenda.” This particular</w:t>
      </w:r>
      <w:r w:rsidR="0025225C" w:rsidRPr="000A5468">
        <w:rPr>
          <w:rFonts w:cstheme="minorHAnsi"/>
          <w:b/>
          <w:sz w:val="20"/>
          <w:szCs w:val="20"/>
        </w:rPr>
        <w:t xml:space="preserve"> </w:t>
      </w:r>
      <w:r w:rsidR="0025225C" w:rsidRPr="000A5468">
        <w:rPr>
          <w:rFonts w:cstheme="minorHAnsi"/>
          <w:sz w:val="20"/>
          <w:szCs w:val="20"/>
        </w:rPr>
        <w:t>page offers guidance on leading campus conversations about engaged scholarship in promotion and tenure.</w:t>
      </w:r>
    </w:p>
    <w:p w:rsidR="00AF7B40" w:rsidRPr="000A5468" w:rsidRDefault="00AF7B40" w:rsidP="00AF7B40">
      <w:pPr>
        <w:pStyle w:val="NormalWeb"/>
        <w:rPr>
          <w:sz w:val="20"/>
          <w:szCs w:val="20"/>
        </w:rPr>
      </w:pPr>
      <w:r w:rsidRPr="000A5468">
        <w:rPr>
          <w:rFonts w:cstheme="minorHAnsi"/>
          <w:b/>
          <w:sz w:val="20"/>
          <w:szCs w:val="20"/>
        </w:rPr>
        <w:t>Rewarding Community-Engaged Scholarship</w:t>
      </w:r>
      <w:r w:rsidRPr="000A5468">
        <w:rPr>
          <w:rFonts w:cstheme="minorHAnsi"/>
          <w:sz w:val="20"/>
          <w:szCs w:val="20"/>
        </w:rPr>
        <w:br/>
        <w:t>http://cescholarship.ca/</w:t>
      </w:r>
      <w:r w:rsidRPr="000A5468">
        <w:rPr>
          <w:rFonts w:cstheme="minorHAnsi"/>
          <w:sz w:val="20"/>
          <w:szCs w:val="20"/>
        </w:rPr>
        <w:br/>
      </w:r>
      <w:r w:rsidRPr="000A5468">
        <w:rPr>
          <w:sz w:val="20"/>
          <w:szCs w:val="20"/>
        </w:rPr>
        <w:t xml:space="preserve">A Canadian-based collaboration of “eight universities and an international organization that have pledged to work together to change university culture, policies and practices in order to recognize and reward CES.” </w:t>
      </w:r>
      <w:r w:rsidR="00850C0C">
        <w:rPr>
          <w:sz w:val="20"/>
          <w:szCs w:val="20"/>
        </w:rPr>
        <w:t>Objectives are to:</w:t>
      </w:r>
    </w:p>
    <w:p w:rsidR="00AF7B40" w:rsidRPr="000A5468" w:rsidRDefault="00850C0C" w:rsidP="00AF7B40">
      <w:pPr>
        <w:numPr>
          <w:ilvl w:val="0"/>
          <w:numId w:val="3"/>
        </w:numPr>
        <w:spacing w:before="100" w:beforeAutospacing="1" w:after="100" w:afterAutospacing="1" w:line="240" w:lineRule="auto"/>
        <w:rPr>
          <w:rFonts w:ascii="Times New Roman" w:eastAsia="Times New Roman" w:hAnsi="Times New Roman" w:cs="Times New Roman"/>
          <w:sz w:val="20"/>
          <w:szCs w:val="20"/>
        </w:rPr>
      </w:pPr>
      <w:r w:rsidRPr="000A5468">
        <w:rPr>
          <w:rFonts w:ascii="Times New Roman" w:eastAsia="Times New Roman" w:hAnsi="Times New Roman" w:cs="Times New Roman"/>
          <w:sz w:val="20"/>
          <w:szCs w:val="20"/>
        </w:rPr>
        <w:t xml:space="preserve"> </w:t>
      </w:r>
      <w:r w:rsidR="00AF7B40" w:rsidRPr="000A5468">
        <w:rPr>
          <w:rFonts w:ascii="Times New Roman" w:eastAsia="Times New Roman" w:hAnsi="Times New Roman" w:cs="Times New Roman"/>
          <w:sz w:val="20"/>
          <w:szCs w:val="20"/>
        </w:rPr>
        <w:t>“Establish a learning community around institutional change strategies, policies and practices that support and advance CES</w:t>
      </w:r>
    </w:p>
    <w:p w:rsidR="00AF7B40" w:rsidRPr="000A5468" w:rsidRDefault="00AF7B40" w:rsidP="00AF7B40">
      <w:pPr>
        <w:numPr>
          <w:ilvl w:val="0"/>
          <w:numId w:val="3"/>
        </w:numPr>
        <w:spacing w:before="100" w:beforeAutospacing="1" w:after="100" w:afterAutospacing="1" w:line="240" w:lineRule="auto"/>
        <w:rPr>
          <w:rFonts w:ascii="Times New Roman" w:eastAsia="Times New Roman" w:hAnsi="Times New Roman" w:cs="Times New Roman"/>
          <w:sz w:val="20"/>
          <w:szCs w:val="20"/>
        </w:rPr>
      </w:pPr>
      <w:r w:rsidRPr="000A5468">
        <w:rPr>
          <w:rFonts w:ascii="Times New Roman" w:eastAsia="Times New Roman" w:hAnsi="Times New Roman" w:cs="Times New Roman"/>
          <w:sz w:val="20"/>
          <w:szCs w:val="20"/>
        </w:rPr>
        <w:t>Ensure that university tenure and promotion policies and practices recognize and reward CES</w:t>
      </w:r>
    </w:p>
    <w:p w:rsidR="00AF7B40" w:rsidRPr="000A5468" w:rsidRDefault="00AF7B40" w:rsidP="00AF7B40">
      <w:pPr>
        <w:numPr>
          <w:ilvl w:val="0"/>
          <w:numId w:val="3"/>
        </w:numPr>
        <w:spacing w:before="100" w:beforeAutospacing="1" w:after="100" w:afterAutospacing="1" w:line="240" w:lineRule="auto"/>
        <w:rPr>
          <w:rFonts w:ascii="Times New Roman" w:eastAsia="Times New Roman" w:hAnsi="Times New Roman" w:cs="Times New Roman"/>
          <w:sz w:val="20"/>
          <w:szCs w:val="20"/>
        </w:rPr>
      </w:pPr>
      <w:r w:rsidRPr="000A5468">
        <w:rPr>
          <w:rFonts w:ascii="Times New Roman" w:eastAsia="Times New Roman" w:hAnsi="Times New Roman" w:cs="Times New Roman"/>
          <w:sz w:val="20"/>
          <w:szCs w:val="20"/>
        </w:rPr>
        <w:t>Implement and evaluate innovative mechanisms for developing community-engaged faculty</w:t>
      </w:r>
    </w:p>
    <w:p w:rsidR="00AF7B40" w:rsidRPr="000A5468" w:rsidRDefault="00AF7B40" w:rsidP="00AF7B40">
      <w:pPr>
        <w:numPr>
          <w:ilvl w:val="0"/>
          <w:numId w:val="3"/>
        </w:numPr>
        <w:spacing w:before="100" w:beforeAutospacing="1" w:after="100" w:afterAutospacing="1" w:line="240" w:lineRule="auto"/>
        <w:rPr>
          <w:rFonts w:ascii="Times New Roman" w:eastAsia="Times New Roman" w:hAnsi="Times New Roman" w:cs="Times New Roman"/>
          <w:sz w:val="20"/>
          <w:szCs w:val="20"/>
        </w:rPr>
      </w:pPr>
      <w:r w:rsidRPr="000A5468">
        <w:rPr>
          <w:rFonts w:ascii="Times New Roman" w:eastAsia="Times New Roman" w:hAnsi="Times New Roman" w:cs="Times New Roman"/>
          <w:sz w:val="20"/>
          <w:szCs w:val="20"/>
        </w:rPr>
        <w:t>Establish a vibrant, sustainable network of universities that support and advance CES”</w:t>
      </w:r>
    </w:p>
    <w:p w:rsidR="00477BC8" w:rsidRPr="000A5468" w:rsidRDefault="00FB2E58" w:rsidP="00477BC8">
      <w:pPr>
        <w:rPr>
          <w:sz w:val="20"/>
          <w:szCs w:val="20"/>
        </w:rPr>
      </w:pPr>
      <w:r w:rsidRPr="000A5468">
        <w:rPr>
          <w:rFonts w:ascii="Times New Roman" w:eastAsia="Times New Roman" w:hAnsi="Times New Roman" w:cs="Times New Roman"/>
          <w:b/>
          <w:bCs/>
          <w:sz w:val="20"/>
          <w:szCs w:val="20"/>
          <w:u w:val="single"/>
        </w:rPr>
        <w:t>Publications</w:t>
      </w:r>
      <w:r w:rsidR="00976B67">
        <w:rPr>
          <w:rFonts w:ascii="Times New Roman" w:eastAsia="Times New Roman" w:hAnsi="Times New Roman" w:cs="Times New Roman"/>
          <w:b/>
          <w:bCs/>
          <w:sz w:val="20"/>
          <w:szCs w:val="20"/>
          <w:u w:val="single"/>
        </w:rPr>
        <w:br/>
      </w:r>
      <w:r w:rsidR="003969E6" w:rsidRPr="000A5468">
        <w:rPr>
          <w:rFonts w:ascii="Times New Roman" w:hAnsi="Times New Roman" w:cs="Times New Roman"/>
          <w:iCs/>
          <w:color w:val="000000"/>
          <w:sz w:val="20"/>
          <w:szCs w:val="20"/>
        </w:rPr>
        <w:t>AASCU (2002).</w:t>
      </w:r>
      <w:r w:rsidR="003969E6" w:rsidRPr="000A5468">
        <w:rPr>
          <w:rFonts w:ascii="Times New Roman" w:hAnsi="Times New Roman" w:cs="Times New Roman"/>
          <w:i/>
          <w:iCs/>
          <w:color w:val="000000"/>
          <w:sz w:val="20"/>
          <w:szCs w:val="20"/>
        </w:rPr>
        <w:t xml:space="preserve"> Stepping </w:t>
      </w:r>
      <w:r w:rsidR="003452E7" w:rsidRPr="000A5468">
        <w:rPr>
          <w:rFonts w:ascii="Times New Roman" w:hAnsi="Times New Roman" w:cs="Times New Roman"/>
          <w:i/>
          <w:iCs/>
          <w:color w:val="000000"/>
          <w:sz w:val="20"/>
          <w:szCs w:val="20"/>
        </w:rPr>
        <w:t>f</w:t>
      </w:r>
      <w:r w:rsidR="003969E6" w:rsidRPr="000A5468">
        <w:rPr>
          <w:rFonts w:ascii="Times New Roman" w:hAnsi="Times New Roman" w:cs="Times New Roman"/>
          <w:i/>
          <w:iCs/>
          <w:color w:val="000000"/>
          <w:sz w:val="20"/>
          <w:szCs w:val="20"/>
        </w:rPr>
        <w:t xml:space="preserve">orward as </w:t>
      </w:r>
      <w:r w:rsidR="003452E7" w:rsidRPr="000A5468">
        <w:rPr>
          <w:rFonts w:ascii="Times New Roman" w:hAnsi="Times New Roman" w:cs="Times New Roman"/>
          <w:i/>
          <w:iCs/>
          <w:color w:val="000000"/>
          <w:sz w:val="20"/>
          <w:szCs w:val="20"/>
        </w:rPr>
        <w:t>s</w:t>
      </w:r>
      <w:r w:rsidR="003969E6" w:rsidRPr="000A5468">
        <w:rPr>
          <w:rFonts w:ascii="Times New Roman" w:hAnsi="Times New Roman" w:cs="Times New Roman"/>
          <w:i/>
          <w:iCs/>
          <w:color w:val="000000"/>
          <w:sz w:val="20"/>
          <w:szCs w:val="20"/>
        </w:rPr>
        <w:t xml:space="preserve">tewards of </w:t>
      </w:r>
      <w:r w:rsidR="003452E7" w:rsidRPr="000A5468">
        <w:rPr>
          <w:rFonts w:ascii="Times New Roman" w:hAnsi="Times New Roman" w:cs="Times New Roman"/>
          <w:i/>
          <w:iCs/>
          <w:color w:val="000000"/>
          <w:sz w:val="20"/>
          <w:szCs w:val="20"/>
        </w:rPr>
        <w:t>p</w:t>
      </w:r>
      <w:r w:rsidR="003969E6" w:rsidRPr="000A5468">
        <w:rPr>
          <w:rFonts w:ascii="Times New Roman" w:hAnsi="Times New Roman" w:cs="Times New Roman"/>
          <w:i/>
          <w:iCs/>
          <w:color w:val="000000"/>
          <w:sz w:val="20"/>
          <w:szCs w:val="20"/>
        </w:rPr>
        <w:t xml:space="preserve">lace: A </w:t>
      </w:r>
      <w:r w:rsidR="003452E7" w:rsidRPr="000A5468">
        <w:rPr>
          <w:rFonts w:ascii="Times New Roman" w:hAnsi="Times New Roman" w:cs="Times New Roman"/>
          <w:i/>
          <w:iCs/>
          <w:color w:val="000000"/>
          <w:sz w:val="20"/>
          <w:szCs w:val="20"/>
        </w:rPr>
        <w:t>g</w:t>
      </w:r>
      <w:r w:rsidR="003969E6" w:rsidRPr="000A5468">
        <w:rPr>
          <w:rFonts w:ascii="Times New Roman" w:hAnsi="Times New Roman" w:cs="Times New Roman"/>
          <w:i/>
          <w:iCs/>
          <w:color w:val="000000"/>
          <w:sz w:val="20"/>
          <w:szCs w:val="20"/>
        </w:rPr>
        <w:t xml:space="preserve">uide for </w:t>
      </w:r>
      <w:r w:rsidR="003452E7" w:rsidRPr="000A5468">
        <w:rPr>
          <w:rFonts w:ascii="Times New Roman" w:hAnsi="Times New Roman" w:cs="Times New Roman"/>
          <w:i/>
          <w:iCs/>
          <w:color w:val="000000"/>
          <w:sz w:val="20"/>
          <w:szCs w:val="20"/>
        </w:rPr>
        <w:t>l</w:t>
      </w:r>
      <w:r w:rsidR="003969E6" w:rsidRPr="000A5468">
        <w:rPr>
          <w:rFonts w:ascii="Times New Roman" w:hAnsi="Times New Roman" w:cs="Times New Roman"/>
          <w:i/>
          <w:iCs/>
          <w:color w:val="000000"/>
          <w:sz w:val="20"/>
          <w:szCs w:val="20"/>
        </w:rPr>
        <w:t xml:space="preserve">eading </w:t>
      </w:r>
      <w:r w:rsidR="003452E7" w:rsidRPr="000A5468">
        <w:rPr>
          <w:rFonts w:ascii="Times New Roman" w:hAnsi="Times New Roman" w:cs="Times New Roman"/>
          <w:i/>
          <w:iCs/>
          <w:color w:val="000000"/>
          <w:sz w:val="20"/>
          <w:szCs w:val="20"/>
        </w:rPr>
        <w:t>p</w:t>
      </w:r>
      <w:r w:rsidR="003969E6" w:rsidRPr="000A5468">
        <w:rPr>
          <w:rFonts w:ascii="Times New Roman" w:hAnsi="Times New Roman" w:cs="Times New Roman"/>
          <w:i/>
          <w:iCs/>
          <w:color w:val="000000"/>
          <w:sz w:val="20"/>
          <w:szCs w:val="20"/>
        </w:rPr>
        <w:t xml:space="preserve">ublic </w:t>
      </w:r>
      <w:r w:rsidR="003452E7" w:rsidRPr="000A5468">
        <w:rPr>
          <w:rFonts w:ascii="Times New Roman" w:hAnsi="Times New Roman" w:cs="Times New Roman"/>
          <w:i/>
          <w:iCs/>
          <w:color w:val="000000"/>
          <w:sz w:val="20"/>
          <w:szCs w:val="20"/>
        </w:rPr>
        <w:t>e</w:t>
      </w:r>
      <w:r w:rsidR="003969E6" w:rsidRPr="000A5468">
        <w:rPr>
          <w:rFonts w:ascii="Times New Roman" w:hAnsi="Times New Roman" w:cs="Times New Roman"/>
          <w:i/>
          <w:iCs/>
          <w:color w:val="000000"/>
          <w:sz w:val="20"/>
          <w:szCs w:val="20"/>
        </w:rPr>
        <w:t xml:space="preserve">ngagement at </w:t>
      </w:r>
      <w:r w:rsidR="003452E7" w:rsidRPr="000A5468">
        <w:rPr>
          <w:rFonts w:ascii="Times New Roman" w:hAnsi="Times New Roman" w:cs="Times New Roman"/>
          <w:i/>
          <w:iCs/>
          <w:color w:val="000000"/>
          <w:sz w:val="20"/>
          <w:szCs w:val="20"/>
        </w:rPr>
        <w:t>s</w:t>
      </w:r>
      <w:r w:rsidR="003969E6" w:rsidRPr="000A5468">
        <w:rPr>
          <w:rFonts w:ascii="Times New Roman" w:hAnsi="Times New Roman" w:cs="Times New Roman"/>
          <w:i/>
          <w:iCs/>
          <w:color w:val="000000"/>
          <w:sz w:val="20"/>
          <w:szCs w:val="20"/>
        </w:rPr>
        <w:t xml:space="preserve">tate </w:t>
      </w:r>
      <w:r w:rsidR="003452E7" w:rsidRPr="000A5468">
        <w:rPr>
          <w:rFonts w:ascii="Times New Roman" w:hAnsi="Times New Roman" w:cs="Times New Roman"/>
          <w:i/>
          <w:iCs/>
          <w:color w:val="000000"/>
          <w:sz w:val="20"/>
          <w:szCs w:val="20"/>
        </w:rPr>
        <w:t>c</w:t>
      </w:r>
      <w:r w:rsidR="003969E6" w:rsidRPr="000A5468">
        <w:rPr>
          <w:rFonts w:ascii="Times New Roman" w:hAnsi="Times New Roman" w:cs="Times New Roman"/>
          <w:i/>
          <w:iCs/>
          <w:color w:val="000000"/>
          <w:sz w:val="20"/>
          <w:szCs w:val="20"/>
        </w:rPr>
        <w:t xml:space="preserve">olleges and </w:t>
      </w:r>
      <w:r w:rsidR="003452E7" w:rsidRPr="000A5468">
        <w:rPr>
          <w:rFonts w:ascii="Times New Roman" w:hAnsi="Times New Roman" w:cs="Times New Roman"/>
          <w:i/>
          <w:iCs/>
          <w:color w:val="000000"/>
          <w:sz w:val="20"/>
          <w:szCs w:val="20"/>
        </w:rPr>
        <w:t>u</w:t>
      </w:r>
      <w:r w:rsidR="003969E6" w:rsidRPr="000A5468">
        <w:rPr>
          <w:rFonts w:ascii="Times New Roman" w:hAnsi="Times New Roman" w:cs="Times New Roman"/>
          <w:i/>
          <w:iCs/>
          <w:color w:val="000000"/>
          <w:sz w:val="20"/>
          <w:szCs w:val="20"/>
        </w:rPr>
        <w:t xml:space="preserve">niversities. </w:t>
      </w:r>
      <w:r w:rsidR="003969E6" w:rsidRPr="000A5468">
        <w:rPr>
          <w:rFonts w:ascii="Times New Roman" w:hAnsi="Times New Roman" w:cs="Times New Roman"/>
          <w:color w:val="000000"/>
          <w:sz w:val="20"/>
          <w:szCs w:val="20"/>
        </w:rPr>
        <w:t>Washington, DC: American Association of State Colleges and Universities.</w:t>
      </w:r>
      <w:r w:rsidR="00844908" w:rsidRPr="000A5468">
        <w:rPr>
          <w:rFonts w:ascii="Times New Roman" w:hAnsi="Times New Roman" w:cs="Times New Roman"/>
          <w:color w:val="000000"/>
          <w:sz w:val="20"/>
          <w:szCs w:val="20"/>
        </w:rPr>
        <w:t xml:space="preserve"> Retrieved from http://www.nchems.org/pubs/detail.php?id=113</w:t>
      </w:r>
      <w:r w:rsidR="00844908" w:rsidRPr="000A5468">
        <w:rPr>
          <w:rFonts w:ascii="Times New Roman" w:hAnsi="Times New Roman" w:cs="Times New Roman"/>
          <w:color w:val="000000"/>
          <w:sz w:val="20"/>
          <w:szCs w:val="20"/>
        </w:rPr>
        <w:br/>
      </w:r>
      <w:r w:rsidR="00844908" w:rsidRPr="000A5468">
        <w:rPr>
          <w:rFonts w:ascii="Times New Roman" w:hAnsi="Times New Roman" w:cs="Times New Roman"/>
          <w:color w:val="000000"/>
          <w:sz w:val="20"/>
          <w:szCs w:val="20"/>
        </w:rPr>
        <w:br/>
      </w:r>
      <w:r w:rsidR="00FD133A" w:rsidRPr="000A5468">
        <w:rPr>
          <w:rFonts w:ascii="Times New Roman" w:hAnsi="Times New Roman" w:cs="Times New Roman"/>
          <w:color w:val="000000"/>
          <w:sz w:val="20"/>
          <w:szCs w:val="20"/>
          <w:lang w:val="it-IT"/>
        </w:rPr>
        <w:t>Battistoni, R., Gellmon, S., Saltmarsh, J., Wergin, J., &amp; Zlotkowski, E. (2003).</w:t>
      </w:r>
      <w:r w:rsidR="002340EB" w:rsidRPr="000A5468">
        <w:rPr>
          <w:rFonts w:ascii="Times New Roman" w:hAnsi="Times New Roman" w:cs="Times New Roman"/>
          <w:color w:val="000000"/>
          <w:sz w:val="20"/>
          <w:szCs w:val="20"/>
          <w:lang w:val="it-IT"/>
        </w:rPr>
        <w:t xml:space="preserve"> </w:t>
      </w:r>
      <w:r w:rsidR="002340EB" w:rsidRPr="000A5468">
        <w:rPr>
          <w:rFonts w:ascii="Times New Roman" w:hAnsi="Times New Roman" w:cs="Times New Roman"/>
          <w:i/>
          <w:iCs/>
          <w:color w:val="000000"/>
          <w:sz w:val="20"/>
          <w:szCs w:val="20"/>
        </w:rPr>
        <w:t xml:space="preserve">The </w:t>
      </w:r>
      <w:r w:rsidR="003452E7" w:rsidRPr="000A5468">
        <w:rPr>
          <w:rFonts w:ascii="Times New Roman" w:hAnsi="Times New Roman" w:cs="Times New Roman"/>
          <w:i/>
          <w:iCs/>
          <w:color w:val="000000"/>
          <w:sz w:val="20"/>
          <w:szCs w:val="20"/>
        </w:rPr>
        <w:t>e</w:t>
      </w:r>
      <w:r w:rsidR="002340EB" w:rsidRPr="000A5468">
        <w:rPr>
          <w:rFonts w:ascii="Times New Roman" w:hAnsi="Times New Roman" w:cs="Times New Roman"/>
          <w:i/>
          <w:iCs/>
          <w:color w:val="000000"/>
          <w:sz w:val="20"/>
          <w:szCs w:val="20"/>
        </w:rPr>
        <w:t xml:space="preserve">ngaged </w:t>
      </w:r>
      <w:r w:rsidR="003452E7" w:rsidRPr="000A5468">
        <w:rPr>
          <w:rFonts w:ascii="Times New Roman" w:hAnsi="Times New Roman" w:cs="Times New Roman"/>
          <w:i/>
          <w:iCs/>
          <w:color w:val="000000"/>
          <w:sz w:val="20"/>
          <w:szCs w:val="20"/>
        </w:rPr>
        <w:t>d</w:t>
      </w:r>
      <w:r w:rsidR="002340EB" w:rsidRPr="000A5468">
        <w:rPr>
          <w:rFonts w:ascii="Times New Roman" w:hAnsi="Times New Roman" w:cs="Times New Roman"/>
          <w:i/>
          <w:iCs/>
          <w:color w:val="000000"/>
          <w:sz w:val="20"/>
          <w:szCs w:val="20"/>
        </w:rPr>
        <w:t xml:space="preserve">epartment </w:t>
      </w:r>
      <w:r w:rsidR="003452E7" w:rsidRPr="000A5468">
        <w:rPr>
          <w:rFonts w:ascii="Times New Roman" w:hAnsi="Times New Roman" w:cs="Times New Roman"/>
          <w:i/>
          <w:iCs/>
          <w:color w:val="000000"/>
          <w:sz w:val="20"/>
          <w:szCs w:val="20"/>
        </w:rPr>
        <w:t>t</w:t>
      </w:r>
      <w:r w:rsidR="002340EB" w:rsidRPr="000A5468">
        <w:rPr>
          <w:rFonts w:ascii="Times New Roman" w:hAnsi="Times New Roman" w:cs="Times New Roman"/>
          <w:i/>
          <w:iCs/>
          <w:color w:val="000000"/>
          <w:sz w:val="20"/>
          <w:szCs w:val="20"/>
        </w:rPr>
        <w:t xml:space="preserve">oolkit. </w:t>
      </w:r>
      <w:r w:rsidR="002340EB" w:rsidRPr="000A5468">
        <w:rPr>
          <w:rFonts w:ascii="Times New Roman" w:hAnsi="Times New Roman" w:cs="Times New Roman"/>
          <w:color w:val="000000"/>
          <w:sz w:val="20"/>
          <w:szCs w:val="20"/>
        </w:rPr>
        <w:t>Providence, RI: Campus Compact.</w:t>
      </w:r>
      <w:r w:rsidR="00FD133A" w:rsidRPr="000A5468">
        <w:rPr>
          <w:rFonts w:ascii="Times New Roman" w:hAnsi="Times New Roman" w:cs="Times New Roman"/>
          <w:color w:val="000000"/>
          <w:sz w:val="20"/>
          <w:szCs w:val="20"/>
        </w:rPr>
        <w:br/>
      </w:r>
      <w:r w:rsidR="00FD133A" w:rsidRPr="000A5468">
        <w:rPr>
          <w:sz w:val="20"/>
          <w:szCs w:val="20"/>
        </w:rPr>
        <w:br/>
      </w:r>
      <w:r w:rsidR="003969E6" w:rsidRPr="000A5468">
        <w:rPr>
          <w:rFonts w:ascii="Times New Roman" w:hAnsi="Times New Roman" w:cs="Times New Roman"/>
          <w:color w:val="131313"/>
          <w:sz w:val="20"/>
          <w:szCs w:val="20"/>
        </w:rPr>
        <w:t xml:space="preserve">Bloomgarden, A. (2009). </w:t>
      </w:r>
      <w:r w:rsidR="003969E6" w:rsidRPr="000A5468">
        <w:rPr>
          <w:rFonts w:ascii="Times New Roman" w:hAnsi="Times New Roman" w:cs="Times New Roman"/>
          <w:i/>
          <w:color w:val="131313"/>
          <w:sz w:val="20"/>
          <w:szCs w:val="20"/>
        </w:rPr>
        <w:t>Prestige culture and community based faculty work</w:t>
      </w:r>
      <w:r w:rsidR="003969E6" w:rsidRPr="000A5468">
        <w:rPr>
          <w:rFonts w:ascii="Times New Roman" w:hAnsi="Times New Roman" w:cs="Times New Roman"/>
          <w:color w:val="131313"/>
          <w:sz w:val="20"/>
          <w:szCs w:val="20"/>
        </w:rPr>
        <w:t xml:space="preserve">. Unpublished </w:t>
      </w:r>
      <w:r w:rsidR="002340EB" w:rsidRPr="000A5468">
        <w:rPr>
          <w:rFonts w:ascii="Times New Roman" w:hAnsi="Times New Roman" w:cs="Times New Roman"/>
          <w:color w:val="131313"/>
          <w:sz w:val="20"/>
          <w:szCs w:val="20"/>
        </w:rPr>
        <w:t>D</w:t>
      </w:r>
      <w:r w:rsidR="003969E6" w:rsidRPr="000A5468">
        <w:rPr>
          <w:rFonts w:ascii="Times New Roman" w:hAnsi="Times New Roman" w:cs="Times New Roman"/>
          <w:color w:val="131313"/>
          <w:sz w:val="20"/>
          <w:szCs w:val="20"/>
        </w:rPr>
        <w:t>octoral Dissertation, University of Massachusetts Amherst.</w:t>
      </w:r>
      <w:r w:rsidR="00560EBD" w:rsidRPr="000A5468">
        <w:rPr>
          <w:rFonts w:ascii="Times New Roman" w:hAnsi="Times New Roman" w:cs="Times New Roman"/>
          <w:color w:val="131313"/>
          <w:sz w:val="20"/>
          <w:szCs w:val="20"/>
        </w:rPr>
        <w:br/>
      </w:r>
      <w:r w:rsidR="00560EBD" w:rsidRPr="000A5468">
        <w:rPr>
          <w:rFonts w:ascii="Times New Roman" w:hAnsi="Times New Roman" w:cs="Times New Roman"/>
          <w:color w:val="131313"/>
          <w:sz w:val="20"/>
          <w:szCs w:val="20"/>
        </w:rPr>
        <w:br/>
      </w:r>
      <w:r w:rsidR="00844908" w:rsidRPr="000A5468">
        <w:rPr>
          <w:rFonts w:ascii="Times New Roman" w:hAnsi="Times New Roman" w:cs="Times New Roman"/>
          <w:color w:val="000000"/>
          <w:sz w:val="20"/>
          <w:szCs w:val="20"/>
        </w:rPr>
        <w:lastRenderedPageBreak/>
        <w:t>Boyer, E. (1997).</w:t>
      </w:r>
      <w:r w:rsidR="003969E6" w:rsidRPr="000A5468">
        <w:rPr>
          <w:rFonts w:ascii="Times New Roman" w:hAnsi="Times New Roman" w:cs="Times New Roman"/>
          <w:color w:val="000000"/>
          <w:sz w:val="20"/>
          <w:szCs w:val="20"/>
        </w:rPr>
        <w:t xml:space="preserve"> </w:t>
      </w:r>
      <w:r w:rsidR="003969E6" w:rsidRPr="000A5468">
        <w:rPr>
          <w:rFonts w:ascii="Times New Roman" w:hAnsi="Times New Roman" w:cs="Times New Roman"/>
          <w:i/>
          <w:iCs/>
          <w:color w:val="000000"/>
          <w:sz w:val="20"/>
          <w:szCs w:val="20"/>
        </w:rPr>
        <w:t xml:space="preserve">Scholarship </w:t>
      </w:r>
      <w:r w:rsidR="003452E7" w:rsidRPr="000A5468">
        <w:rPr>
          <w:rFonts w:ascii="Times New Roman" w:hAnsi="Times New Roman" w:cs="Times New Roman"/>
          <w:i/>
          <w:iCs/>
          <w:color w:val="000000"/>
          <w:sz w:val="20"/>
          <w:szCs w:val="20"/>
        </w:rPr>
        <w:t>r</w:t>
      </w:r>
      <w:r w:rsidR="003969E6" w:rsidRPr="000A5468">
        <w:rPr>
          <w:rFonts w:ascii="Times New Roman" w:hAnsi="Times New Roman" w:cs="Times New Roman"/>
          <w:i/>
          <w:iCs/>
          <w:color w:val="000000"/>
          <w:sz w:val="20"/>
          <w:szCs w:val="20"/>
        </w:rPr>
        <w:t xml:space="preserve">econsidered: Priorities of the </w:t>
      </w:r>
      <w:r w:rsidR="003452E7" w:rsidRPr="000A5468">
        <w:rPr>
          <w:rFonts w:ascii="Times New Roman" w:hAnsi="Times New Roman" w:cs="Times New Roman"/>
          <w:i/>
          <w:iCs/>
          <w:color w:val="000000"/>
          <w:sz w:val="20"/>
          <w:szCs w:val="20"/>
        </w:rPr>
        <w:t>p</w:t>
      </w:r>
      <w:r w:rsidR="003969E6" w:rsidRPr="000A5468">
        <w:rPr>
          <w:rFonts w:ascii="Times New Roman" w:hAnsi="Times New Roman" w:cs="Times New Roman"/>
          <w:i/>
          <w:iCs/>
          <w:color w:val="000000"/>
          <w:sz w:val="20"/>
          <w:szCs w:val="20"/>
        </w:rPr>
        <w:t xml:space="preserve">rofessoriate. </w:t>
      </w:r>
      <w:r w:rsidR="003969E6" w:rsidRPr="000A5468">
        <w:rPr>
          <w:rFonts w:ascii="Times New Roman" w:hAnsi="Times New Roman" w:cs="Times New Roman"/>
          <w:color w:val="000000"/>
          <w:sz w:val="20"/>
          <w:szCs w:val="20"/>
        </w:rPr>
        <w:t>San Francisco, C</w:t>
      </w:r>
      <w:r w:rsidR="00844908" w:rsidRPr="000A5468">
        <w:rPr>
          <w:rFonts w:ascii="Times New Roman" w:hAnsi="Times New Roman" w:cs="Times New Roman"/>
          <w:color w:val="000000"/>
          <w:sz w:val="20"/>
          <w:szCs w:val="20"/>
        </w:rPr>
        <w:t>A</w:t>
      </w:r>
      <w:r w:rsidR="003969E6" w:rsidRPr="000A5468">
        <w:rPr>
          <w:rFonts w:ascii="Times New Roman" w:hAnsi="Times New Roman" w:cs="Times New Roman"/>
          <w:color w:val="000000"/>
          <w:sz w:val="20"/>
          <w:szCs w:val="20"/>
        </w:rPr>
        <w:t>:</w:t>
      </w:r>
      <w:r w:rsidR="00844908" w:rsidRPr="000A5468">
        <w:rPr>
          <w:rFonts w:ascii="Times New Roman" w:hAnsi="Times New Roman" w:cs="Times New Roman"/>
          <w:color w:val="000000"/>
          <w:sz w:val="20"/>
          <w:szCs w:val="20"/>
        </w:rPr>
        <w:t xml:space="preserve"> </w:t>
      </w:r>
      <w:r w:rsidR="003969E6" w:rsidRPr="000A5468">
        <w:rPr>
          <w:rFonts w:ascii="Times New Roman" w:hAnsi="Times New Roman" w:cs="Times New Roman"/>
          <w:color w:val="000000"/>
          <w:sz w:val="20"/>
          <w:szCs w:val="20"/>
        </w:rPr>
        <w:t xml:space="preserve">Jossey-Bass, Inc. </w:t>
      </w:r>
      <w:r w:rsidR="00844908" w:rsidRPr="000A5468">
        <w:rPr>
          <w:rFonts w:ascii="Times New Roman" w:hAnsi="Times New Roman" w:cs="Times New Roman"/>
          <w:color w:val="000000"/>
          <w:sz w:val="20"/>
          <w:szCs w:val="20"/>
        </w:rPr>
        <w:br/>
      </w:r>
      <w:r w:rsidR="00844908" w:rsidRPr="000A5468">
        <w:rPr>
          <w:rFonts w:ascii="Times New Roman" w:hAnsi="Times New Roman" w:cs="Times New Roman"/>
          <w:color w:val="000000"/>
          <w:sz w:val="20"/>
          <w:szCs w:val="20"/>
        </w:rPr>
        <w:br/>
      </w:r>
      <w:r w:rsidR="003969E6" w:rsidRPr="000A5468">
        <w:rPr>
          <w:rFonts w:ascii="Times New Roman" w:hAnsi="Times New Roman" w:cs="Times New Roman"/>
          <w:color w:val="000000"/>
          <w:sz w:val="20"/>
          <w:szCs w:val="20"/>
          <w:lang w:val="de-DE"/>
        </w:rPr>
        <w:t xml:space="preserve">Bruckardt, M.J., Holland, B., Percy, S. &amp; Zimpher, N. (2004). </w:t>
      </w:r>
      <w:r w:rsidR="003969E6" w:rsidRPr="000A5468">
        <w:rPr>
          <w:rFonts w:ascii="Times New Roman" w:hAnsi="Times New Roman" w:cs="Times New Roman"/>
          <w:i/>
          <w:iCs/>
          <w:color w:val="000000"/>
          <w:sz w:val="20"/>
          <w:szCs w:val="20"/>
        </w:rPr>
        <w:t xml:space="preserve">Calling the question: Is higher education really ready to commit to community engagement?: A Wingspread Statement. </w:t>
      </w:r>
      <w:r w:rsidR="003969E6" w:rsidRPr="000A5468">
        <w:rPr>
          <w:rFonts w:ascii="Times New Roman" w:hAnsi="Times New Roman" w:cs="Times New Roman"/>
          <w:color w:val="000000"/>
          <w:sz w:val="20"/>
          <w:szCs w:val="20"/>
        </w:rPr>
        <w:t>Milwaukee: University of Wisconsin, 2004.</w:t>
      </w:r>
      <w:r w:rsidR="003969E6" w:rsidRPr="000A5468">
        <w:rPr>
          <w:rFonts w:ascii="Times New Roman" w:hAnsi="Times New Roman" w:cs="Times New Roman"/>
          <w:color w:val="000000"/>
          <w:sz w:val="20"/>
          <w:szCs w:val="20"/>
        </w:rPr>
        <w:br/>
      </w:r>
      <w:r w:rsidR="00952008" w:rsidRPr="000A5468">
        <w:rPr>
          <w:rFonts w:eastAsia="Times New Roman" w:cs="Times New Roman"/>
          <w:sz w:val="20"/>
          <w:szCs w:val="20"/>
        </w:rPr>
        <w:br/>
      </w:r>
      <w:r w:rsidR="003969E6" w:rsidRPr="000A5468">
        <w:rPr>
          <w:rFonts w:ascii="Times New Roman" w:hAnsi="Times New Roman" w:cs="Times New Roman"/>
          <w:color w:val="000000"/>
          <w:sz w:val="20"/>
          <w:szCs w:val="20"/>
          <w:lang w:val="it-IT"/>
        </w:rPr>
        <w:t xml:space="preserve">Cantor, N., &amp; Levine, S. D. (2006). </w:t>
      </w:r>
      <w:r w:rsidR="003969E6" w:rsidRPr="000A5468">
        <w:rPr>
          <w:rFonts w:ascii="Times New Roman" w:hAnsi="Times New Roman" w:cs="Times New Roman"/>
          <w:color w:val="000000"/>
          <w:sz w:val="20"/>
          <w:szCs w:val="20"/>
        </w:rPr>
        <w:t xml:space="preserve">Taking public scholarship seriously. </w:t>
      </w:r>
      <w:r w:rsidR="003969E6" w:rsidRPr="000A5468">
        <w:rPr>
          <w:rFonts w:ascii="Times New Roman" w:hAnsi="Times New Roman" w:cs="Times New Roman"/>
          <w:i/>
          <w:iCs/>
          <w:color w:val="000000"/>
          <w:sz w:val="20"/>
          <w:szCs w:val="20"/>
        </w:rPr>
        <w:t xml:space="preserve">The Chronicle of Higher Education </w:t>
      </w:r>
      <w:r w:rsidR="003969E6" w:rsidRPr="000A5468">
        <w:rPr>
          <w:rFonts w:ascii="Times New Roman" w:hAnsi="Times New Roman" w:cs="Times New Roman"/>
          <w:color w:val="000000"/>
          <w:sz w:val="20"/>
          <w:szCs w:val="20"/>
        </w:rPr>
        <w:t>52, 40.</w:t>
      </w:r>
      <w:r w:rsidR="003969E6" w:rsidRPr="000A5468">
        <w:rPr>
          <w:rFonts w:ascii="Times New Roman" w:hAnsi="Times New Roman" w:cs="Times New Roman"/>
          <w:color w:val="000000"/>
          <w:sz w:val="20"/>
          <w:szCs w:val="20"/>
        </w:rPr>
        <w:br/>
      </w:r>
      <w:r w:rsidR="003969E6" w:rsidRPr="000A5468">
        <w:rPr>
          <w:rFonts w:ascii="Times New Roman" w:hAnsi="Times New Roman" w:cs="Times New Roman"/>
          <w:color w:val="000000"/>
          <w:sz w:val="20"/>
          <w:szCs w:val="20"/>
        </w:rPr>
        <w:br/>
      </w:r>
      <w:r w:rsidR="003969E6" w:rsidRPr="000A5468">
        <w:rPr>
          <w:rFonts w:ascii="Times New Roman" w:hAnsi="Times New Roman" w:cs="Times New Roman"/>
          <w:color w:val="131313"/>
          <w:sz w:val="20"/>
          <w:szCs w:val="20"/>
        </w:rPr>
        <w:t xml:space="preserve">Colbeck, C., &amp; Michael, P. (2006). Individual and organizational influences on faculty members’engagement in public scholarship. In R. A. Eberly &amp; J. R. Cohen (Eds.), </w:t>
      </w:r>
      <w:r w:rsidR="003969E6" w:rsidRPr="000A5468">
        <w:rPr>
          <w:rFonts w:ascii="Times New Roman" w:hAnsi="Times New Roman" w:cs="Times New Roman"/>
          <w:i/>
          <w:color w:val="131313"/>
          <w:sz w:val="20"/>
          <w:szCs w:val="20"/>
        </w:rPr>
        <w:t>Public scholarship. New</w:t>
      </w:r>
      <w:r w:rsidR="009C1C9E">
        <w:rPr>
          <w:rFonts w:ascii="Times New Roman" w:hAnsi="Times New Roman" w:cs="Times New Roman"/>
          <w:i/>
          <w:color w:val="131313"/>
          <w:sz w:val="20"/>
          <w:szCs w:val="20"/>
        </w:rPr>
        <w:t xml:space="preserve"> </w:t>
      </w:r>
      <w:r w:rsidR="003969E6" w:rsidRPr="000A5468">
        <w:rPr>
          <w:rFonts w:ascii="Times New Roman" w:hAnsi="Times New Roman" w:cs="Times New Roman"/>
          <w:i/>
          <w:color w:val="131313"/>
          <w:sz w:val="20"/>
          <w:szCs w:val="20"/>
        </w:rPr>
        <w:t>directions for teaching and learning</w:t>
      </w:r>
      <w:r w:rsidR="003969E6" w:rsidRPr="000A5468">
        <w:rPr>
          <w:rFonts w:ascii="Times New Roman" w:hAnsi="Times New Roman" w:cs="Times New Roman"/>
          <w:color w:val="131313"/>
          <w:sz w:val="20"/>
          <w:szCs w:val="20"/>
        </w:rPr>
        <w:t xml:space="preserve">, </w:t>
      </w:r>
      <w:r w:rsidR="003969E6" w:rsidRPr="000A5468">
        <w:rPr>
          <w:rFonts w:ascii="Times New Roman" w:hAnsi="Times New Roman" w:cs="Times New Roman"/>
          <w:i/>
          <w:color w:val="131313"/>
          <w:sz w:val="20"/>
          <w:szCs w:val="20"/>
        </w:rPr>
        <w:t>105</w:t>
      </w:r>
      <w:r w:rsidR="003969E6" w:rsidRPr="000A5468">
        <w:rPr>
          <w:rFonts w:ascii="Times New Roman" w:hAnsi="Times New Roman" w:cs="Times New Roman"/>
          <w:color w:val="131313"/>
          <w:sz w:val="20"/>
          <w:szCs w:val="20"/>
        </w:rPr>
        <w:t xml:space="preserve"> (17–26). San Francisco, CA: Jossey-Bass.</w:t>
      </w:r>
      <w:r w:rsidR="003969E6" w:rsidRPr="000A5468">
        <w:rPr>
          <w:rFonts w:ascii="Times New Roman" w:hAnsi="Times New Roman" w:cs="Times New Roman"/>
          <w:color w:val="131313"/>
          <w:sz w:val="20"/>
          <w:szCs w:val="20"/>
        </w:rPr>
        <w:br/>
      </w:r>
      <w:r w:rsidR="003969E6" w:rsidRPr="000A5468">
        <w:rPr>
          <w:rFonts w:ascii="Times New Roman" w:hAnsi="Times New Roman" w:cs="Times New Roman"/>
          <w:color w:val="131313"/>
          <w:sz w:val="20"/>
          <w:szCs w:val="20"/>
        </w:rPr>
        <w:br/>
      </w:r>
      <w:r w:rsidR="00477BC8" w:rsidRPr="000A5468">
        <w:rPr>
          <w:sz w:val="20"/>
          <w:szCs w:val="20"/>
        </w:rPr>
        <w:t>Committee on Institutional Cooperation (2004)</w:t>
      </w:r>
      <w:r w:rsidR="003452E7" w:rsidRPr="000A5468">
        <w:rPr>
          <w:sz w:val="20"/>
          <w:szCs w:val="20"/>
        </w:rPr>
        <w:t>.</w:t>
      </w:r>
      <w:r w:rsidR="00477BC8" w:rsidRPr="000A5468">
        <w:rPr>
          <w:sz w:val="20"/>
          <w:szCs w:val="20"/>
        </w:rPr>
        <w:t xml:space="preserve"> </w:t>
      </w:r>
      <w:r w:rsidR="00477BC8" w:rsidRPr="000A5468">
        <w:rPr>
          <w:i/>
          <w:sz w:val="20"/>
          <w:szCs w:val="20"/>
        </w:rPr>
        <w:t xml:space="preserve">CIC </w:t>
      </w:r>
      <w:r w:rsidR="003452E7" w:rsidRPr="000A5468">
        <w:rPr>
          <w:i/>
          <w:sz w:val="20"/>
          <w:szCs w:val="20"/>
        </w:rPr>
        <w:t>r</w:t>
      </w:r>
      <w:r w:rsidR="00477BC8" w:rsidRPr="000A5468">
        <w:rPr>
          <w:i/>
          <w:sz w:val="20"/>
          <w:szCs w:val="20"/>
        </w:rPr>
        <w:t xml:space="preserve">eports. </w:t>
      </w:r>
      <w:r w:rsidR="003452E7" w:rsidRPr="000A5468">
        <w:rPr>
          <w:i/>
          <w:sz w:val="20"/>
          <w:szCs w:val="20"/>
        </w:rPr>
        <w:t>D</w:t>
      </w:r>
      <w:r w:rsidR="00477BC8" w:rsidRPr="000A5468">
        <w:rPr>
          <w:i/>
          <w:sz w:val="20"/>
          <w:szCs w:val="20"/>
        </w:rPr>
        <w:t xml:space="preserve">raft </w:t>
      </w:r>
      <w:r w:rsidR="003452E7" w:rsidRPr="000A5468">
        <w:rPr>
          <w:i/>
          <w:sz w:val="20"/>
          <w:szCs w:val="20"/>
        </w:rPr>
        <w:t>r</w:t>
      </w:r>
      <w:r w:rsidR="00477BC8" w:rsidRPr="000A5468">
        <w:rPr>
          <w:i/>
          <w:sz w:val="20"/>
          <w:szCs w:val="20"/>
        </w:rPr>
        <w:t xml:space="preserve">esource </w:t>
      </w:r>
      <w:r w:rsidR="003452E7" w:rsidRPr="000A5468">
        <w:rPr>
          <w:i/>
          <w:sz w:val="20"/>
          <w:szCs w:val="20"/>
        </w:rPr>
        <w:t>g</w:t>
      </w:r>
      <w:r w:rsidR="00477BC8" w:rsidRPr="000A5468">
        <w:rPr>
          <w:i/>
          <w:sz w:val="20"/>
          <w:szCs w:val="20"/>
        </w:rPr>
        <w:t xml:space="preserve">uide and </w:t>
      </w:r>
      <w:r w:rsidR="003452E7" w:rsidRPr="000A5468">
        <w:rPr>
          <w:i/>
          <w:sz w:val="20"/>
          <w:szCs w:val="20"/>
        </w:rPr>
        <w:t>r</w:t>
      </w:r>
      <w:r w:rsidR="00477BC8" w:rsidRPr="000A5468">
        <w:rPr>
          <w:i/>
          <w:sz w:val="20"/>
          <w:szCs w:val="20"/>
        </w:rPr>
        <w:t xml:space="preserve">ecommendations for </w:t>
      </w:r>
      <w:r w:rsidR="003452E7" w:rsidRPr="000A5468">
        <w:rPr>
          <w:i/>
          <w:sz w:val="20"/>
          <w:szCs w:val="20"/>
        </w:rPr>
        <w:t>d</w:t>
      </w:r>
      <w:r w:rsidR="00477BC8" w:rsidRPr="000A5468">
        <w:rPr>
          <w:i/>
          <w:sz w:val="20"/>
          <w:szCs w:val="20"/>
        </w:rPr>
        <w:t xml:space="preserve">efining and </w:t>
      </w:r>
      <w:r w:rsidR="003452E7" w:rsidRPr="000A5468">
        <w:rPr>
          <w:i/>
          <w:sz w:val="20"/>
          <w:szCs w:val="20"/>
        </w:rPr>
        <w:t>b</w:t>
      </w:r>
      <w:r w:rsidR="00477BC8" w:rsidRPr="000A5468">
        <w:rPr>
          <w:i/>
          <w:sz w:val="20"/>
          <w:szCs w:val="20"/>
        </w:rPr>
        <w:t xml:space="preserve">enchmarking </w:t>
      </w:r>
      <w:r w:rsidR="003452E7" w:rsidRPr="000A5468">
        <w:rPr>
          <w:i/>
          <w:sz w:val="20"/>
          <w:szCs w:val="20"/>
        </w:rPr>
        <w:t>e</w:t>
      </w:r>
      <w:r w:rsidR="00477BC8" w:rsidRPr="000A5468">
        <w:rPr>
          <w:i/>
          <w:sz w:val="20"/>
          <w:szCs w:val="20"/>
        </w:rPr>
        <w:t>ngagement</w:t>
      </w:r>
      <w:r w:rsidR="00477BC8" w:rsidRPr="000A5468">
        <w:rPr>
          <w:sz w:val="20"/>
          <w:szCs w:val="20"/>
        </w:rPr>
        <w:t xml:space="preserve">. Committee on Institutional Cooperation. Champaign, IL. </w:t>
      </w:r>
      <w:r w:rsidR="003452E7" w:rsidRPr="000A5468">
        <w:rPr>
          <w:sz w:val="20"/>
          <w:szCs w:val="20"/>
        </w:rPr>
        <w:t xml:space="preserve">Retrieved from </w:t>
      </w:r>
      <w:hyperlink r:id="rId13" w:tgtFrame="_blank" w:history="1">
        <w:r w:rsidR="00477BC8" w:rsidRPr="000A5468">
          <w:rPr>
            <w:rStyle w:val="Hyperlink"/>
            <w:sz w:val="20"/>
            <w:szCs w:val="20"/>
          </w:rPr>
          <w:t>http://www.cic.uiuc.edu</w:t>
        </w:r>
      </w:hyperlink>
      <w:r w:rsidR="00477BC8" w:rsidRPr="000A5468">
        <w:rPr>
          <w:sz w:val="20"/>
          <w:szCs w:val="20"/>
        </w:rPr>
        <w:t xml:space="preserve"> </w:t>
      </w:r>
    </w:p>
    <w:p w:rsidR="00477BC8" w:rsidRPr="000A5468" w:rsidRDefault="00477BC8" w:rsidP="00477BC8">
      <w:pPr>
        <w:rPr>
          <w:sz w:val="20"/>
          <w:szCs w:val="20"/>
        </w:rPr>
      </w:pPr>
      <w:r w:rsidRPr="000A5468">
        <w:rPr>
          <w:sz w:val="20"/>
          <w:szCs w:val="20"/>
        </w:rPr>
        <w:t>Diamond, R.</w:t>
      </w:r>
      <w:r w:rsidR="003452E7" w:rsidRPr="000A5468">
        <w:rPr>
          <w:sz w:val="20"/>
          <w:szCs w:val="20"/>
        </w:rPr>
        <w:t xml:space="preserve"> (2006).</w:t>
      </w:r>
      <w:r w:rsidRPr="000A5468">
        <w:rPr>
          <w:sz w:val="20"/>
          <w:szCs w:val="20"/>
        </w:rPr>
        <w:t xml:space="preserve"> </w:t>
      </w:r>
      <w:r w:rsidRPr="000A5468">
        <w:rPr>
          <w:i/>
          <w:sz w:val="20"/>
          <w:szCs w:val="20"/>
        </w:rPr>
        <w:t xml:space="preserve">Tenure and </w:t>
      </w:r>
      <w:r w:rsidR="003452E7" w:rsidRPr="000A5468">
        <w:rPr>
          <w:i/>
          <w:sz w:val="20"/>
          <w:szCs w:val="20"/>
        </w:rPr>
        <w:t>p</w:t>
      </w:r>
      <w:r w:rsidRPr="000A5468">
        <w:rPr>
          <w:i/>
          <w:sz w:val="20"/>
          <w:szCs w:val="20"/>
        </w:rPr>
        <w:t xml:space="preserve">romotion: </w:t>
      </w:r>
      <w:r w:rsidR="003452E7" w:rsidRPr="000A5468">
        <w:rPr>
          <w:i/>
          <w:sz w:val="20"/>
          <w:szCs w:val="20"/>
        </w:rPr>
        <w:t>t</w:t>
      </w:r>
      <w:r w:rsidRPr="000A5468">
        <w:rPr>
          <w:i/>
          <w:sz w:val="20"/>
          <w:szCs w:val="20"/>
        </w:rPr>
        <w:t xml:space="preserve">he </w:t>
      </w:r>
      <w:r w:rsidR="003452E7" w:rsidRPr="000A5468">
        <w:rPr>
          <w:i/>
          <w:sz w:val="20"/>
          <w:szCs w:val="20"/>
        </w:rPr>
        <w:t>n</w:t>
      </w:r>
      <w:r w:rsidRPr="000A5468">
        <w:rPr>
          <w:i/>
          <w:sz w:val="20"/>
          <w:szCs w:val="20"/>
        </w:rPr>
        <w:t xml:space="preserve">ext </w:t>
      </w:r>
      <w:r w:rsidR="003452E7" w:rsidRPr="000A5468">
        <w:rPr>
          <w:i/>
          <w:sz w:val="20"/>
          <w:szCs w:val="20"/>
        </w:rPr>
        <w:t>iteration</w:t>
      </w:r>
      <w:r w:rsidR="003452E7" w:rsidRPr="000A5468">
        <w:rPr>
          <w:sz w:val="20"/>
          <w:szCs w:val="20"/>
        </w:rPr>
        <w:t>.</w:t>
      </w:r>
      <w:r w:rsidRPr="000A5468">
        <w:rPr>
          <w:sz w:val="20"/>
          <w:szCs w:val="20"/>
        </w:rPr>
        <w:t xml:space="preserve"> The National Academy fo</w:t>
      </w:r>
      <w:r w:rsidR="009C1C9E">
        <w:rPr>
          <w:sz w:val="20"/>
          <w:szCs w:val="20"/>
        </w:rPr>
        <w:t>r Academic Leadership.</w:t>
      </w:r>
      <w:r w:rsidRPr="000A5468">
        <w:rPr>
          <w:sz w:val="20"/>
          <w:szCs w:val="20"/>
        </w:rPr>
        <w:t xml:space="preserve"> </w:t>
      </w:r>
      <w:r w:rsidR="003452E7" w:rsidRPr="000A5468">
        <w:rPr>
          <w:sz w:val="20"/>
          <w:szCs w:val="20"/>
        </w:rPr>
        <w:t xml:space="preserve">Retrieved from </w:t>
      </w:r>
      <w:hyperlink r:id="rId14" w:tgtFrame="_blank" w:history="1">
        <w:r w:rsidRPr="000A5468">
          <w:rPr>
            <w:rStyle w:val="Hyperlink"/>
            <w:sz w:val="20"/>
            <w:szCs w:val="20"/>
          </w:rPr>
          <w:t>http://www.thenationalacademy.org/readings/tenpromo.html</w:t>
        </w:r>
      </w:hyperlink>
      <w:r w:rsidRPr="000A5468">
        <w:rPr>
          <w:sz w:val="20"/>
          <w:szCs w:val="20"/>
        </w:rPr>
        <w:t xml:space="preserve"> </w:t>
      </w:r>
    </w:p>
    <w:p w:rsidR="009874A5" w:rsidRPr="000A5468" w:rsidRDefault="003969E6" w:rsidP="00A01053">
      <w:pPr>
        <w:pStyle w:val="Pa39"/>
        <w:spacing w:after="160"/>
        <w:rPr>
          <w:rFonts w:ascii="Times New Roman" w:hAnsi="Times New Roman" w:cs="Times New Roman"/>
          <w:color w:val="000000"/>
          <w:sz w:val="20"/>
          <w:szCs w:val="20"/>
        </w:rPr>
      </w:pPr>
      <w:r w:rsidRPr="000A5468">
        <w:rPr>
          <w:rFonts w:ascii="Times New Roman" w:hAnsi="Times New Roman" w:cs="Times New Roman"/>
          <w:color w:val="000000"/>
          <w:sz w:val="20"/>
          <w:szCs w:val="20"/>
        </w:rPr>
        <w:t xml:space="preserve">Diamond, R. M., and Bronwyn E. A. (1995). </w:t>
      </w:r>
      <w:r w:rsidRPr="000A5468">
        <w:rPr>
          <w:rFonts w:ascii="Times New Roman" w:hAnsi="Times New Roman" w:cs="Times New Roman"/>
          <w:i/>
          <w:iCs/>
          <w:color w:val="000000"/>
          <w:sz w:val="20"/>
          <w:szCs w:val="20"/>
        </w:rPr>
        <w:t xml:space="preserve">The </w:t>
      </w:r>
      <w:r w:rsidR="003452E7" w:rsidRPr="000A5468">
        <w:rPr>
          <w:rFonts w:ascii="Times New Roman" w:hAnsi="Times New Roman" w:cs="Times New Roman"/>
          <w:i/>
          <w:iCs/>
          <w:color w:val="000000"/>
          <w:sz w:val="20"/>
          <w:szCs w:val="20"/>
        </w:rPr>
        <w:t>d</w:t>
      </w:r>
      <w:r w:rsidRPr="000A5468">
        <w:rPr>
          <w:rFonts w:ascii="Times New Roman" w:hAnsi="Times New Roman" w:cs="Times New Roman"/>
          <w:i/>
          <w:iCs/>
          <w:color w:val="000000"/>
          <w:sz w:val="20"/>
          <w:szCs w:val="20"/>
        </w:rPr>
        <w:t xml:space="preserve">isciplines </w:t>
      </w:r>
      <w:r w:rsidR="003452E7" w:rsidRPr="000A5468">
        <w:rPr>
          <w:rFonts w:ascii="Times New Roman" w:hAnsi="Times New Roman" w:cs="Times New Roman"/>
          <w:i/>
          <w:iCs/>
          <w:color w:val="000000"/>
          <w:sz w:val="20"/>
          <w:szCs w:val="20"/>
        </w:rPr>
        <w:t>s</w:t>
      </w:r>
      <w:r w:rsidRPr="000A5468">
        <w:rPr>
          <w:rFonts w:ascii="Times New Roman" w:hAnsi="Times New Roman" w:cs="Times New Roman"/>
          <w:i/>
          <w:iCs/>
          <w:color w:val="000000"/>
          <w:sz w:val="20"/>
          <w:szCs w:val="20"/>
        </w:rPr>
        <w:t xml:space="preserve">peak: Rewarding the </w:t>
      </w:r>
      <w:r w:rsidR="003452E7" w:rsidRPr="000A5468">
        <w:rPr>
          <w:rFonts w:ascii="Times New Roman" w:hAnsi="Times New Roman" w:cs="Times New Roman"/>
          <w:i/>
          <w:iCs/>
          <w:color w:val="000000"/>
          <w:sz w:val="20"/>
          <w:szCs w:val="20"/>
        </w:rPr>
        <w:t>s</w:t>
      </w:r>
      <w:r w:rsidRPr="000A5468">
        <w:rPr>
          <w:rFonts w:ascii="Times New Roman" w:hAnsi="Times New Roman" w:cs="Times New Roman"/>
          <w:i/>
          <w:iCs/>
          <w:color w:val="000000"/>
          <w:sz w:val="20"/>
          <w:szCs w:val="20"/>
        </w:rPr>
        <w:t xml:space="preserve">cholarly, </w:t>
      </w:r>
      <w:r w:rsidR="003452E7" w:rsidRPr="000A5468">
        <w:rPr>
          <w:rFonts w:ascii="Times New Roman" w:hAnsi="Times New Roman" w:cs="Times New Roman"/>
          <w:i/>
          <w:iCs/>
          <w:color w:val="000000"/>
          <w:sz w:val="20"/>
          <w:szCs w:val="20"/>
        </w:rPr>
        <w:t>p</w:t>
      </w:r>
      <w:r w:rsidRPr="000A5468">
        <w:rPr>
          <w:rFonts w:ascii="Times New Roman" w:hAnsi="Times New Roman" w:cs="Times New Roman"/>
          <w:i/>
          <w:iCs/>
          <w:color w:val="000000"/>
          <w:sz w:val="20"/>
          <w:szCs w:val="20"/>
        </w:rPr>
        <w:t xml:space="preserve">rofessional, and </w:t>
      </w:r>
      <w:r w:rsidR="003452E7" w:rsidRPr="000A5468">
        <w:rPr>
          <w:rFonts w:ascii="Times New Roman" w:hAnsi="Times New Roman" w:cs="Times New Roman"/>
          <w:i/>
          <w:iCs/>
          <w:color w:val="000000"/>
          <w:sz w:val="20"/>
          <w:szCs w:val="20"/>
        </w:rPr>
        <w:t>c</w:t>
      </w:r>
      <w:r w:rsidRPr="000A5468">
        <w:rPr>
          <w:rFonts w:ascii="Times New Roman" w:hAnsi="Times New Roman" w:cs="Times New Roman"/>
          <w:i/>
          <w:iCs/>
          <w:color w:val="000000"/>
          <w:sz w:val="20"/>
          <w:szCs w:val="20"/>
        </w:rPr>
        <w:t xml:space="preserve">reative </w:t>
      </w:r>
      <w:r w:rsidR="003452E7" w:rsidRPr="000A5468">
        <w:rPr>
          <w:rFonts w:ascii="Times New Roman" w:hAnsi="Times New Roman" w:cs="Times New Roman"/>
          <w:i/>
          <w:iCs/>
          <w:color w:val="000000"/>
          <w:sz w:val="20"/>
          <w:szCs w:val="20"/>
        </w:rPr>
        <w:t>w</w:t>
      </w:r>
      <w:r w:rsidRPr="000A5468">
        <w:rPr>
          <w:rFonts w:ascii="Times New Roman" w:hAnsi="Times New Roman" w:cs="Times New Roman"/>
          <w:i/>
          <w:iCs/>
          <w:color w:val="000000"/>
          <w:sz w:val="20"/>
          <w:szCs w:val="20"/>
        </w:rPr>
        <w:t xml:space="preserve">ork of </w:t>
      </w:r>
      <w:r w:rsidR="003452E7" w:rsidRPr="000A5468">
        <w:rPr>
          <w:rFonts w:ascii="Times New Roman" w:hAnsi="Times New Roman" w:cs="Times New Roman"/>
          <w:i/>
          <w:iCs/>
          <w:color w:val="000000"/>
          <w:sz w:val="20"/>
          <w:szCs w:val="20"/>
        </w:rPr>
        <w:t>f</w:t>
      </w:r>
      <w:r w:rsidRPr="000A5468">
        <w:rPr>
          <w:rFonts w:ascii="Times New Roman" w:hAnsi="Times New Roman" w:cs="Times New Roman"/>
          <w:i/>
          <w:iCs/>
          <w:color w:val="000000"/>
          <w:sz w:val="20"/>
          <w:szCs w:val="20"/>
        </w:rPr>
        <w:t xml:space="preserve">aculty. </w:t>
      </w:r>
      <w:r w:rsidRPr="000A5468">
        <w:rPr>
          <w:rFonts w:ascii="Times New Roman" w:hAnsi="Times New Roman" w:cs="Times New Roman"/>
          <w:color w:val="000000"/>
          <w:sz w:val="20"/>
          <w:szCs w:val="20"/>
        </w:rPr>
        <w:t>Washington, DC: American Association for Higher Education.</w:t>
      </w:r>
    </w:p>
    <w:p w:rsidR="00EF7ACF" w:rsidRPr="000A5468" w:rsidRDefault="003969E6" w:rsidP="003969E6">
      <w:pPr>
        <w:autoSpaceDE w:val="0"/>
        <w:autoSpaceDN w:val="0"/>
        <w:adjustRightInd w:val="0"/>
        <w:spacing w:after="0" w:line="240" w:lineRule="auto"/>
        <w:rPr>
          <w:rFonts w:ascii="Times New Roman" w:hAnsi="Times New Roman" w:cs="Times New Roman"/>
          <w:color w:val="000000"/>
          <w:sz w:val="20"/>
          <w:szCs w:val="20"/>
        </w:rPr>
      </w:pPr>
      <w:r w:rsidRPr="000A5468">
        <w:rPr>
          <w:rFonts w:ascii="Times New Roman" w:hAnsi="Times New Roman" w:cs="Times New Roman"/>
          <w:color w:val="000000"/>
          <w:sz w:val="20"/>
          <w:szCs w:val="20"/>
        </w:rPr>
        <w:t xml:space="preserve">Diamond, R. M., and Bronwyn E. A. (2000). </w:t>
      </w:r>
      <w:r w:rsidRPr="000A5468">
        <w:rPr>
          <w:rFonts w:ascii="Times New Roman" w:hAnsi="Times New Roman" w:cs="Times New Roman"/>
          <w:i/>
          <w:iCs/>
          <w:color w:val="000000"/>
          <w:sz w:val="20"/>
          <w:szCs w:val="20"/>
        </w:rPr>
        <w:t xml:space="preserve">The </w:t>
      </w:r>
      <w:r w:rsidR="003452E7" w:rsidRPr="000A5468">
        <w:rPr>
          <w:rFonts w:ascii="Times New Roman" w:hAnsi="Times New Roman" w:cs="Times New Roman"/>
          <w:i/>
          <w:iCs/>
          <w:color w:val="000000"/>
          <w:sz w:val="20"/>
          <w:szCs w:val="20"/>
        </w:rPr>
        <w:t>d</w:t>
      </w:r>
      <w:r w:rsidRPr="000A5468">
        <w:rPr>
          <w:rFonts w:ascii="Times New Roman" w:hAnsi="Times New Roman" w:cs="Times New Roman"/>
          <w:i/>
          <w:iCs/>
          <w:color w:val="000000"/>
          <w:sz w:val="20"/>
          <w:szCs w:val="20"/>
        </w:rPr>
        <w:t xml:space="preserve">isciplines </w:t>
      </w:r>
      <w:r w:rsidR="003452E7" w:rsidRPr="000A5468">
        <w:rPr>
          <w:rFonts w:ascii="Times New Roman" w:hAnsi="Times New Roman" w:cs="Times New Roman"/>
          <w:i/>
          <w:iCs/>
          <w:color w:val="000000"/>
          <w:sz w:val="20"/>
          <w:szCs w:val="20"/>
        </w:rPr>
        <w:t>s</w:t>
      </w:r>
      <w:r w:rsidRPr="000A5468">
        <w:rPr>
          <w:rFonts w:ascii="Times New Roman" w:hAnsi="Times New Roman" w:cs="Times New Roman"/>
          <w:i/>
          <w:iCs/>
          <w:color w:val="000000"/>
          <w:sz w:val="20"/>
          <w:szCs w:val="20"/>
        </w:rPr>
        <w:t xml:space="preserve">peak II: More </w:t>
      </w:r>
      <w:r w:rsidR="003452E7" w:rsidRPr="000A5468">
        <w:rPr>
          <w:rFonts w:ascii="Times New Roman" w:hAnsi="Times New Roman" w:cs="Times New Roman"/>
          <w:i/>
          <w:iCs/>
          <w:color w:val="000000"/>
          <w:sz w:val="20"/>
          <w:szCs w:val="20"/>
        </w:rPr>
        <w:t>s</w:t>
      </w:r>
      <w:r w:rsidRPr="000A5468">
        <w:rPr>
          <w:rFonts w:ascii="Times New Roman" w:hAnsi="Times New Roman" w:cs="Times New Roman"/>
          <w:i/>
          <w:iCs/>
          <w:color w:val="000000"/>
          <w:sz w:val="20"/>
          <w:szCs w:val="20"/>
        </w:rPr>
        <w:t xml:space="preserve">tatements on </w:t>
      </w:r>
      <w:r w:rsidR="003452E7" w:rsidRPr="000A5468">
        <w:rPr>
          <w:rFonts w:ascii="Times New Roman" w:hAnsi="Times New Roman" w:cs="Times New Roman"/>
          <w:i/>
          <w:iCs/>
          <w:color w:val="000000"/>
          <w:sz w:val="20"/>
          <w:szCs w:val="20"/>
        </w:rPr>
        <w:t>r</w:t>
      </w:r>
      <w:r w:rsidRPr="000A5468">
        <w:rPr>
          <w:rFonts w:ascii="Times New Roman" w:hAnsi="Times New Roman" w:cs="Times New Roman"/>
          <w:i/>
          <w:iCs/>
          <w:color w:val="000000"/>
          <w:sz w:val="20"/>
          <w:szCs w:val="20"/>
        </w:rPr>
        <w:t xml:space="preserve">ewarding the </w:t>
      </w:r>
      <w:r w:rsidR="003452E7" w:rsidRPr="000A5468">
        <w:rPr>
          <w:rFonts w:ascii="Times New Roman" w:hAnsi="Times New Roman" w:cs="Times New Roman"/>
          <w:i/>
          <w:iCs/>
          <w:color w:val="000000"/>
          <w:sz w:val="20"/>
          <w:szCs w:val="20"/>
        </w:rPr>
        <w:t>s</w:t>
      </w:r>
      <w:r w:rsidRPr="000A5468">
        <w:rPr>
          <w:rFonts w:ascii="Times New Roman" w:hAnsi="Times New Roman" w:cs="Times New Roman"/>
          <w:i/>
          <w:iCs/>
          <w:color w:val="000000"/>
          <w:sz w:val="20"/>
          <w:szCs w:val="20"/>
        </w:rPr>
        <w:t xml:space="preserve">cholarly, </w:t>
      </w:r>
      <w:r w:rsidR="003452E7" w:rsidRPr="000A5468">
        <w:rPr>
          <w:rFonts w:ascii="Times New Roman" w:hAnsi="Times New Roman" w:cs="Times New Roman"/>
          <w:i/>
          <w:iCs/>
          <w:color w:val="000000"/>
          <w:sz w:val="20"/>
          <w:szCs w:val="20"/>
        </w:rPr>
        <w:t>p</w:t>
      </w:r>
      <w:r w:rsidRPr="000A5468">
        <w:rPr>
          <w:rFonts w:ascii="Times New Roman" w:hAnsi="Times New Roman" w:cs="Times New Roman"/>
          <w:i/>
          <w:iCs/>
          <w:color w:val="000000"/>
          <w:sz w:val="20"/>
          <w:szCs w:val="20"/>
        </w:rPr>
        <w:t xml:space="preserve">rofessional, and </w:t>
      </w:r>
      <w:r w:rsidR="003452E7" w:rsidRPr="000A5468">
        <w:rPr>
          <w:rFonts w:ascii="Times New Roman" w:hAnsi="Times New Roman" w:cs="Times New Roman"/>
          <w:i/>
          <w:iCs/>
          <w:color w:val="000000"/>
          <w:sz w:val="20"/>
          <w:szCs w:val="20"/>
        </w:rPr>
        <w:t>c</w:t>
      </w:r>
      <w:r w:rsidRPr="000A5468">
        <w:rPr>
          <w:rFonts w:ascii="Times New Roman" w:hAnsi="Times New Roman" w:cs="Times New Roman"/>
          <w:i/>
          <w:iCs/>
          <w:color w:val="000000"/>
          <w:sz w:val="20"/>
          <w:szCs w:val="20"/>
        </w:rPr>
        <w:t xml:space="preserve">reative </w:t>
      </w:r>
      <w:r w:rsidR="003452E7" w:rsidRPr="000A5468">
        <w:rPr>
          <w:rFonts w:ascii="Times New Roman" w:hAnsi="Times New Roman" w:cs="Times New Roman"/>
          <w:i/>
          <w:iCs/>
          <w:color w:val="000000"/>
          <w:sz w:val="20"/>
          <w:szCs w:val="20"/>
        </w:rPr>
        <w:t>w</w:t>
      </w:r>
      <w:r w:rsidRPr="000A5468">
        <w:rPr>
          <w:rFonts w:ascii="Times New Roman" w:hAnsi="Times New Roman" w:cs="Times New Roman"/>
          <w:i/>
          <w:iCs/>
          <w:color w:val="000000"/>
          <w:sz w:val="20"/>
          <w:szCs w:val="20"/>
        </w:rPr>
        <w:t xml:space="preserve">ork of </w:t>
      </w:r>
      <w:r w:rsidR="003452E7" w:rsidRPr="000A5468">
        <w:rPr>
          <w:rFonts w:ascii="Times New Roman" w:hAnsi="Times New Roman" w:cs="Times New Roman"/>
          <w:i/>
          <w:iCs/>
          <w:color w:val="000000"/>
          <w:sz w:val="20"/>
          <w:szCs w:val="20"/>
        </w:rPr>
        <w:t>f</w:t>
      </w:r>
      <w:r w:rsidRPr="000A5468">
        <w:rPr>
          <w:rFonts w:ascii="Times New Roman" w:hAnsi="Times New Roman" w:cs="Times New Roman"/>
          <w:i/>
          <w:iCs/>
          <w:color w:val="000000"/>
          <w:sz w:val="20"/>
          <w:szCs w:val="20"/>
        </w:rPr>
        <w:t xml:space="preserve">aculty. </w:t>
      </w:r>
      <w:r w:rsidRPr="000A5468">
        <w:rPr>
          <w:rFonts w:ascii="Times New Roman" w:hAnsi="Times New Roman" w:cs="Times New Roman"/>
          <w:color w:val="000000"/>
          <w:sz w:val="20"/>
          <w:szCs w:val="20"/>
        </w:rPr>
        <w:t>Washington, DC: American Association for Higher Education.</w:t>
      </w:r>
    </w:p>
    <w:p w:rsidR="00EF7ACF" w:rsidRPr="000A5468" w:rsidRDefault="00EF7ACF" w:rsidP="003969E6">
      <w:pPr>
        <w:autoSpaceDE w:val="0"/>
        <w:autoSpaceDN w:val="0"/>
        <w:adjustRightInd w:val="0"/>
        <w:spacing w:after="0" w:line="240" w:lineRule="auto"/>
        <w:rPr>
          <w:rFonts w:ascii="Times New Roman" w:hAnsi="Times New Roman" w:cs="Times New Roman"/>
          <w:b/>
          <w:color w:val="000000"/>
          <w:sz w:val="20"/>
          <w:szCs w:val="20"/>
        </w:rPr>
      </w:pPr>
    </w:p>
    <w:p w:rsidR="00224D74" w:rsidRPr="00224D74" w:rsidRDefault="00224D74" w:rsidP="00224D74">
      <w:pPr>
        <w:pStyle w:val="Default"/>
        <w:rPr>
          <w:rFonts w:ascii="Times New Roman" w:hAnsi="Times New Roman" w:cs="Times New Roman"/>
          <w:sz w:val="20"/>
          <w:szCs w:val="20"/>
        </w:rPr>
      </w:pPr>
      <w:r w:rsidRPr="00224D74">
        <w:rPr>
          <w:rFonts w:ascii="Times New Roman" w:hAnsi="Times New Roman" w:cs="Times New Roman"/>
          <w:color w:val="131313"/>
          <w:sz w:val="20"/>
          <w:szCs w:val="20"/>
        </w:rPr>
        <w:t xml:space="preserve">Doberneck, D., Glass, C., &amp; Schweitzer, J. (2010). </w:t>
      </w:r>
      <w:r w:rsidRPr="00224D74">
        <w:rPr>
          <w:rFonts w:ascii="Times New Roman" w:hAnsi="Times New Roman" w:cs="Times New Roman"/>
          <w:sz w:val="20"/>
          <w:szCs w:val="20"/>
        </w:rPr>
        <w:t xml:space="preserve"> </w:t>
      </w:r>
      <w:r w:rsidRPr="00224D74">
        <w:rPr>
          <w:rFonts w:ascii="Times New Roman" w:hAnsi="Times New Roman" w:cs="Times New Roman"/>
          <w:bCs/>
          <w:iCs/>
          <w:sz w:val="20"/>
          <w:szCs w:val="20"/>
        </w:rPr>
        <w:t>From rhetoric to reality: A typology of publically engaged scholarship.</w:t>
      </w:r>
      <w:r w:rsidRPr="00224D74">
        <w:rPr>
          <w:rFonts w:ascii="Times New Roman" w:hAnsi="Times New Roman" w:cs="Times New Roman"/>
          <w:sz w:val="20"/>
          <w:szCs w:val="20"/>
        </w:rPr>
        <w:t xml:space="preserve"> </w:t>
      </w:r>
      <w:r w:rsidRPr="00224D74">
        <w:rPr>
          <w:rFonts w:ascii="Times New Roman" w:hAnsi="Times New Roman" w:cs="Times New Roman"/>
          <w:i/>
          <w:iCs/>
          <w:sz w:val="20"/>
          <w:szCs w:val="20"/>
        </w:rPr>
        <w:t>Journal of Higher Education Outreach and Engagement</w:t>
      </w:r>
      <w:r w:rsidRPr="00224D74">
        <w:rPr>
          <w:rFonts w:ascii="Times New Roman" w:hAnsi="Times New Roman" w:cs="Times New Roman"/>
          <w:sz w:val="20"/>
          <w:szCs w:val="20"/>
        </w:rPr>
        <w:t>, 14 (4), 5-34.</w:t>
      </w:r>
    </w:p>
    <w:p w:rsidR="00224D74" w:rsidRDefault="00224D74" w:rsidP="003969E6">
      <w:pPr>
        <w:autoSpaceDE w:val="0"/>
        <w:autoSpaceDN w:val="0"/>
        <w:adjustRightInd w:val="0"/>
        <w:spacing w:after="0" w:line="240" w:lineRule="auto"/>
        <w:rPr>
          <w:rFonts w:ascii="Times New Roman" w:hAnsi="Times New Roman" w:cs="Times New Roman"/>
          <w:color w:val="131313"/>
          <w:sz w:val="20"/>
          <w:szCs w:val="20"/>
        </w:rPr>
      </w:pPr>
    </w:p>
    <w:p w:rsidR="0022640B" w:rsidRPr="000A5468" w:rsidRDefault="0022640B" w:rsidP="003969E6">
      <w:pPr>
        <w:autoSpaceDE w:val="0"/>
        <w:autoSpaceDN w:val="0"/>
        <w:adjustRightInd w:val="0"/>
        <w:spacing w:after="0" w:line="240" w:lineRule="auto"/>
        <w:rPr>
          <w:rFonts w:ascii="Times New Roman" w:hAnsi="Times New Roman" w:cs="Times New Roman"/>
          <w:color w:val="131313"/>
          <w:sz w:val="20"/>
          <w:szCs w:val="20"/>
        </w:rPr>
      </w:pPr>
      <w:r w:rsidRPr="000A5468">
        <w:rPr>
          <w:rFonts w:ascii="Times New Roman" w:hAnsi="Times New Roman" w:cs="Times New Roman"/>
          <w:color w:val="131313"/>
          <w:sz w:val="20"/>
          <w:szCs w:val="20"/>
        </w:rPr>
        <w:t xml:space="preserve">Driscoll, A. (2008, January/February). Carnegie’s community-engagement classification: Intentions and insights. </w:t>
      </w:r>
      <w:r w:rsidRPr="000A5468">
        <w:rPr>
          <w:rFonts w:ascii="Times New Roman" w:hAnsi="Times New Roman" w:cs="Times New Roman"/>
          <w:i/>
          <w:color w:val="131313"/>
          <w:sz w:val="20"/>
          <w:szCs w:val="20"/>
        </w:rPr>
        <w:t>Change</w:t>
      </w:r>
      <w:r w:rsidRPr="000A5468">
        <w:rPr>
          <w:rFonts w:ascii="Times New Roman" w:hAnsi="Times New Roman" w:cs="Times New Roman"/>
          <w:color w:val="131313"/>
          <w:sz w:val="20"/>
          <w:szCs w:val="20"/>
        </w:rPr>
        <w:t>, 39-41.</w:t>
      </w:r>
    </w:p>
    <w:p w:rsidR="0022640B" w:rsidRPr="000A5468" w:rsidRDefault="0022640B" w:rsidP="003969E6">
      <w:pPr>
        <w:autoSpaceDE w:val="0"/>
        <w:autoSpaceDN w:val="0"/>
        <w:adjustRightInd w:val="0"/>
        <w:spacing w:after="0" w:line="240" w:lineRule="auto"/>
        <w:rPr>
          <w:rFonts w:ascii="Times New Roman" w:hAnsi="Times New Roman" w:cs="Times New Roman"/>
          <w:color w:val="131313"/>
          <w:sz w:val="20"/>
          <w:szCs w:val="20"/>
        </w:rPr>
      </w:pPr>
    </w:p>
    <w:p w:rsidR="00441D6A" w:rsidRPr="000A5468" w:rsidRDefault="003969E6" w:rsidP="003969E6">
      <w:pPr>
        <w:autoSpaceDE w:val="0"/>
        <w:autoSpaceDN w:val="0"/>
        <w:adjustRightInd w:val="0"/>
        <w:spacing w:after="0" w:line="240" w:lineRule="auto"/>
        <w:rPr>
          <w:rFonts w:ascii="Times New Roman" w:hAnsi="Times New Roman" w:cs="Times New Roman"/>
          <w:color w:val="131313"/>
          <w:sz w:val="20"/>
          <w:szCs w:val="20"/>
        </w:rPr>
      </w:pPr>
      <w:r w:rsidRPr="000A5468">
        <w:rPr>
          <w:rFonts w:ascii="Times New Roman" w:hAnsi="Times New Roman" w:cs="Times New Roman"/>
          <w:color w:val="131313"/>
          <w:sz w:val="20"/>
          <w:szCs w:val="20"/>
        </w:rPr>
        <w:t xml:space="preserve">Driscoll, A., &amp; Lynton, E. (Eds.). (1999). </w:t>
      </w:r>
      <w:r w:rsidRPr="000A5468">
        <w:rPr>
          <w:rFonts w:ascii="Times New Roman" w:hAnsi="Times New Roman" w:cs="Times New Roman"/>
          <w:i/>
          <w:color w:val="131313"/>
          <w:sz w:val="20"/>
          <w:szCs w:val="20"/>
        </w:rPr>
        <w:t xml:space="preserve">Making outreach visible: A guide to documenting professional service and outreach. </w:t>
      </w:r>
      <w:r w:rsidRPr="000A5468">
        <w:rPr>
          <w:rFonts w:ascii="Times New Roman" w:hAnsi="Times New Roman" w:cs="Times New Roman"/>
          <w:color w:val="131313"/>
          <w:sz w:val="20"/>
          <w:szCs w:val="20"/>
        </w:rPr>
        <w:t>Washington, DC: American Association for Higher Education.</w:t>
      </w:r>
    </w:p>
    <w:p w:rsidR="00441D6A" w:rsidRPr="000A5468" w:rsidRDefault="00441D6A" w:rsidP="003969E6">
      <w:pPr>
        <w:autoSpaceDE w:val="0"/>
        <w:autoSpaceDN w:val="0"/>
        <w:adjustRightInd w:val="0"/>
        <w:spacing w:after="0" w:line="240" w:lineRule="auto"/>
        <w:rPr>
          <w:rFonts w:ascii="Times New Roman" w:hAnsi="Times New Roman" w:cs="Times New Roman"/>
          <w:b/>
          <w:color w:val="131313"/>
          <w:sz w:val="20"/>
          <w:szCs w:val="20"/>
        </w:rPr>
      </w:pPr>
    </w:p>
    <w:p w:rsidR="00441D6A" w:rsidRPr="000A5468" w:rsidRDefault="003969E6" w:rsidP="003969E6">
      <w:pPr>
        <w:rPr>
          <w:rFonts w:ascii="Times New Roman" w:hAnsi="Times New Roman" w:cs="Times New Roman"/>
          <w:color w:val="131313"/>
          <w:sz w:val="20"/>
          <w:szCs w:val="20"/>
        </w:rPr>
      </w:pPr>
      <w:r w:rsidRPr="000A5468">
        <w:rPr>
          <w:rFonts w:ascii="Times New Roman" w:hAnsi="Times New Roman" w:cs="Times New Roman"/>
          <w:color w:val="131313"/>
          <w:sz w:val="20"/>
          <w:szCs w:val="20"/>
        </w:rPr>
        <w:t xml:space="preserve">Driscoll, A., &amp; Sandmann, L. R. (2001). From maverick to mainstream: The scholarship of engagement. </w:t>
      </w:r>
      <w:r w:rsidRPr="000A5468">
        <w:rPr>
          <w:rFonts w:ascii="Times New Roman" w:hAnsi="Times New Roman" w:cs="Times New Roman"/>
          <w:i/>
          <w:color w:val="131313"/>
          <w:sz w:val="20"/>
          <w:szCs w:val="20"/>
        </w:rPr>
        <w:t>Journal of Higher Education Outreach and Engagement, 6</w:t>
      </w:r>
      <w:r w:rsidRPr="000A5468">
        <w:rPr>
          <w:rFonts w:ascii="Times New Roman" w:hAnsi="Times New Roman" w:cs="Times New Roman"/>
          <w:color w:val="131313"/>
          <w:sz w:val="20"/>
          <w:szCs w:val="20"/>
        </w:rPr>
        <w:t>(2), 9–19.</w:t>
      </w:r>
    </w:p>
    <w:p w:rsidR="003969E6" w:rsidRPr="000A5468" w:rsidRDefault="007E3A34" w:rsidP="003969E6">
      <w:pPr>
        <w:rPr>
          <w:rFonts w:ascii="Times New Roman" w:hAnsi="Times New Roman" w:cs="Times New Roman"/>
          <w:color w:val="131313"/>
          <w:sz w:val="20"/>
          <w:szCs w:val="20"/>
        </w:rPr>
      </w:pPr>
      <w:r w:rsidRPr="000A5468">
        <w:rPr>
          <w:rFonts w:ascii="Times New Roman" w:hAnsi="Times New Roman" w:cs="Times New Roman"/>
          <w:color w:val="000000"/>
          <w:sz w:val="20"/>
          <w:szCs w:val="20"/>
        </w:rPr>
        <w:t xml:space="preserve">Ellison, J., and </w:t>
      </w:r>
      <w:r w:rsidR="003969E6" w:rsidRPr="000A5468">
        <w:rPr>
          <w:rFonts w:ascii="Times New Roman" w:hAnsi="Times New Roman" w:cs="Times New Roman"/>
          <w:color w:val="000000"/>
          <w:sz w:val="20"/>
          <w:szCs w:val="20"/>
        </w:rPr>
        <w:t>Eatman</w:t>
      </w:r>
      <w:r w:rsidRPr="000A5468">
        <w:rPr>
          <w:rFonts w:ascii="Times New Roman" w:hAnsi="Times New Roman" w:cs="Times New Roman"/>
          <w:color w:val="000000"/>
          <w:sz w:val="20"/>
          <w:szCs w:val="20"/>
        </w:rPr>
        <w:t>, T.K.</w:t>
      </w:r>
      <w:r w:rsidR="003969E6" w:rsidRPr="000A5468">
        <w:rPr>
          <w:rFonts w:ascii="Times New Roman" w:hAnsi="Times New Roman" w:cs="Times New Roman"/>
          <w:color w:val="000000"/>
          <w:sz w:val="20"/>
          <w:szCs w:val="20"/>
        </w:rPr>
        <w:t xml:space="preserve"> </w:t>
      </w:r>
      <w:r w:rsidRPr="000A5468">
        <w:rPr>
          <w:rFonts w:ascii="Times New Roman" w:hAnsi="Times New Roman" w:cs="Times New Roman"/>
          <w:color w:val="000000"/>
          <w:sz w:val="20"/>
          <w:szCs w:val="20"/>
        </w:rPr>
        <w:t>(</w:t>
      </w:r>
      <w:r w:rsidR="003969E6" w:rsidRPr="000A5468">
        <w:rPr>
          <w:rFonts w:ascii="Times New Roman" w:hAnsi="Times New Roman" w:cs="Times New Roman"/>
          <w:color w:val="000000"/>
          <w:sz w:val="20"/>
          <w:szCs w:val="20"/>
        </w:rPr>
        <w:t>2008</w:t>
      </w:r>
      <w:r w:rsidRPr="000A5468">
        <w:rPr>
          <w:rFonts w:ascii="Times New Roman" w:hAnsi="Times New Roman" w:cs="Times New Roman"/>
          <w:color w:val="000000"/>
          <w:sz w:val="20"/>
          <w:szCs w:val="20"/>
        </w:rPr>
        <w:t>)</w:t>
      </w:r>
      <w:r w:rsidR="003969E6" w:rsidRPr="000A5468">
        <w:rPr>
          <w:rFonts w:ascii="Times New Roman" w:hAnsi="Times New Roman" w:cs="Times New Roman"/>
          <w:color w:val="000000"/>
          <w:sz w:val="20"/>
          <w:szCs w:val="20"/>
        </w:rPr>
        <w:t xml:space="preserve">. </w:t>
      </w:r>
      <w:r w:rsidR="003969E6" w:rsidRPr="000A5468">
        <w:rPr>
          <w:rFonts w:ascii="Times New Roman" w:hAnsi="Times New Roman" w:cs="Times New Roman"/>
          <w:i/>
          <w:iCs/>
          <w:color w:val="000000"/>
          <w:sz w:val="20"/>
          <w:szCs w:val="20"/>
        </w:rPr>
        <w:t xml:space="preserve">Scholarship in </w:t>
      </w:r>
      <w:r w:rsidR="003452E7" w:rsidRPr="000A5468">
        <w:rPr>
          <w:rFonts w:ascii="Times New Roman" w:hAnsi="Times New Roman" w:cs="Times New Roman"/>
          <w:i/>
          <w:iCs/>
          <w:color w:val="000000"/>
          <w:sz w:val="20"/>
          <w:szCs w:val="20"/>
        </w:rPr>
        <w:t>p</w:t>
      </w:r>
      <w:r w:rsidR="003969E6" w:rsidRPr="000A5468">
        <w:rPr>
          <w:rFonts w:ascii="Times New Roman" w:hAnsi="Times New Roman" w:cs="Times New Roman"/>
          <w:i/>
          <w:iCs/>
          <w:color w:val="000000"/>
          <w:sz w:val="20"/>
          <w:szCs w:val="20"/>
        </w:rPr>
        <w:t xml:space="preserve">ublic: Knowledge </w:t>
      </w:r>
      <w:r w:rsidR="003452E7" w:rsidRPr="000A5468">
        <w:rPr>
          <w:rFonts w:ascii="Times New Roman" w:hAnsi="Times New Roman" w:cs="Times New Roman"/>
          <w:i/>
          <w:iCs/>
          <w:color w:val="000000"/>
          <w:sz w:val="20"/>
          <w:szCs w:val="20"/>
        </w:rPr>
        <w:t>c</w:t>
      </w:r>
      <w:r w:rsidR="003969E6" w:rsidRPr="000A5468">
        <w:rPr>
          <w:rFonts w:ascii="Times New Roman" w:hAnsi="Times New Roman" w:cs="Times New Roman"/>
          <w:i/>
          <w:iCs/>
          <w:color w:val="000000"/>
          <w:sz w:val="20"/>
          <w:szCs w:val="20"/>
        </w:rPr>
        <w:t xml:space="preserve">reation and </w:t>
      </w:r>
      <w:r w:rsidR="003452E7" w:rsidRPr="000A5468">
        <w:rPr>
          <w:rFonts w:ascii="Times New Roman" w:hAnsi="Times New Roman" w:cs="Times New Roman"/>
          <w:i/>
          <w:iCs/>
          <w:color w:val="000000"/>
          <w:sz w:val="20"/>
          <w:szCs w:val="20"/>
        </w:rPr>
        <w:t>t</w:t>
      </w:r>
      <w:r w:rsidR="003969E6" w:rsidRPr="000A5468">
        <w:rPr>
          <w:rFonts w:ascii="Times New Roman" w:hAnsi="Times New Roman" w:cs="Times New Roman"/>
          <w:i/>
          <w:iCs/>
          <w:color w:val="000000"/>
          <w:sz w:val="20"/>
          <w:szCs w:val="20"/>
        </w:rPr>
        <w:t xml:space="preserve">enure </w:t>
      </w:r>
      <w:r w:rsidR="003452E7" w:rsidRPr="000A5468">
        <w:rPr>
          <w:rFonts w:ascii="Times New Roman" w:hAnsi="Times New Roman" w:cs="Times New Roman"/>
          <w:i/>
          <w:iCs/>
          <w:color w:val="000000"/>
          <w:sz w:val="20"/>
          <w:szCs w:val="20"/>
        </w:rPr>
        <w:t>p</w:t>
      </w:r>
      <w:r w:rsidR="003969E6" w:rsidRPr="000A5468">
        <w:rPr>
          <w:rFonts w:ascii="Times New Roman" w:hAnsi="Times New Roman" w:cs="Times New Roman"/>
          <w:i/>
          <w:iCs/>
          <w:color w:val="000000"/>
          <w:sz w:val="20"/>
          <w:szCs w:val="20"/>
        </w:rPr>
        <w:t xml:space="preserve">olicy in the </w:t>
      </w:r>
      <w:r w:rsidR="003452E7" w:rsidRPr="000A5468">
        <w:rPr>
          <w:rFonts w:ascii="Times New Roman" w:hAnsi="Times New Roman" w:cs="Times New Roman"/>
          <w:i/>
          <w:iCs/>
          <w:color w:val="000000"/>
          <w:sz w:val="20"/>
          <w:szCs w:val="20"/>
        </w:rPr>
        <w:t>e</w:t>
      </w:r>
      <w:r w:rsidR="003969E6" w:rsidRPr="000A5468">
        <w:rPr>
          <w:rFonts w:ascii="Times New Roman" w:hAnsi="Times New Roman" w:cs="Times New Roman"/>
          <w:i/>
          <w:iCs/>
          <w:color w:val="000000"/>
          <w:sz w:val="20"/>
          <w:szCs w:val="20"/>
        </w:rPr>
        <w:t xml:space="preserve">ngaged </w:t>
      </w:r>
      <w:r w:rsidR="003452E7" w:rsidRPr="000A5468">
        <w:rPr>
          <w:rFonts w:ascii="Times New Roman" w:hAnsi="Times New Roman" w:cs="Times New Roman"/>
          <w:i/>
          <w:iCs/>
          <w:color w:val="000000"/>
          <w:sz w:val="20"/>
          <w:szCs w:val="20"/>
        </w:rPr>
        <w:t>u</w:t>
      </w:r>
      <w:r w:rsidR="003969E6" w:rsidRPr="000A5468">
        <w:rPr>
          <w:rFonts w:ascii="Times New Roman" w:hAnsi="Times New Roman" w:cs="Times New Roman"/>
          <w:i/>
          <w:iCs/>
          <w:color w:val="000000"/>
          <w:sz w:val="20"/>
          <w:szCs w:val="20"/>
        </w:rPr>
        <w:t xml:space="preserve">niversity. </w:t>
      </w:r>
      <w:r w:rsidR="003969E6" w:rsidRPr="000A5468">
        <w:rPr>
          <w:rFonts w:ascii="Times New Roman" w:hAnsi="Times New Roman" w:cs="Times New Roman"/>
          <w:color w:val="000000"/>
          <w:sz w:val="20"/>
          <w:szCs w:val="20"/>
        </w:rPr>
        <w:t>Syracuse, NY: Imagining America.</w:t>
      </w:r>
    </w:p>
    <w:p w:rsidR="003969E6" w:rsidRPr="000A5468" w:rsidRDefault="003969E6" w:rsidP="003969E6">
      <w:pPr>
        <w:spacing w:after="0" w:line="240" w:lineRule="auto"/>
        <w:rPr>
          <w:rFonts w:ascii="Times New Roman" w:eastAsia="Times New Roman" w:hAnsi="Times New Roman" w:cs="Times New Roman"/>
          <w:bCs/>
          <w:sz w:val="20"/>
          <w:szCs w:val="20"/>
          <w:u w:val="single"/>
        </w:rPr>
      </w:pPr>
      <w:r w:rsidRPr="000A5468">
        <w:rPr>
          <w:rFonts w:ascii="Times New Roman" w:hAnsi="Times New Roman" w:cs="Times New Roman"/>
          <w:sz w:val="20"/>
          <w:szCs w:val="20"/>
          <w:lang w:val="de-DE"/>
        </w:rPr>
        <w:t xml:space="preserve">Fitzgerald, H., Seifer, C., Sarena D. (2010). </w:t>
      </w:r>
      <w:r w:rsidRPr="000A5468">
        <w:rPr>
          <w:rStyle w:val="label"/>
          <w:rFonts w:ascii="Times New Roman" w:hAnsi="Times New Roman" w:cs="Times New Roman"/>
          <w:i/>
          <w:sz w:val="20"/>
          <w:szCs w:val="20"/>
        </w:rPr>
        <w:t xml:space="preserve">Transformation in </w:t>
      </w:r>
      <w:r w:rsidR="003452E7" w:rsidRPr="000A5468">
        <w:rPr>
          <w:rStyle w:val="label"/>
          <w:rFonts w:ascii="Times New Roman" w:hAnsi="Times New Roman" w:cs="Times New Roman"/>
          <w:i/>
          <w:sz w:val="20"/>
          <w:szCs w:val="20"/>
        </w:rPr>
        <w:t>h</w:t>
      </w:r>
      <w:r w:rsidRPr="000A5468">
        <w:rPr>
          <w:rStyle w:val="label"/>
          <w:rFonts w:ascii="Times New Roman" w:hAnsi="Times New Roman" w:cs="Times New Roman"/>
          <w:i/>
          <w:sz w:val="20"/>
          <w:szCs w:val="20"/>
        </w:rPr>
        <w:t xml:space="preserve">igher </w:t>
      </w:r>
      <w:r w:rsidR="003452E7" w:rsidRPr="000A5468">
        <w:rPr>
          <w:rStyle w:val="label"/>
          <w:rFonts w:ascii="Times New Roman" w:hAnsi="Times New Roman" w:cs="Times New Roman"/>
          <w:i/>
          <w:sz w:val="20"/>
          <w:szCs w:val="20"/>
        </w:rPr>
        <w:t>e</w:t>
      </w:r>
      <w:r w:rsidRPr="000A5468">
        <w:rPr>
          <w:rStyle w:val="label"/>
          <w:rFonts w:ascii="Times New Roman" w:hAnsi="Times New Roman" w:cs="Times New Roman"/>
          <w:i/>
          <w:sz w:val="20"/>
          <w:szCs w:val="20"/>
        </w:rPr>
        <w:t xml:space="preserve">ducation : Handbook of </w:t>
      </w:r>
      <w:r w:rsidR="003452E7" w:rsidRPr="000A5468">
        <w:rPr>
          <w:rStyle w:val="label"/>
          <w:rFonts w:ascii="Times New Roman" w:hAnsi="Times New Roman" w:cs="Times New Roman"/>
          <w:i/>
          <w:sz w:val="20"/>
          <w:szCs w:val="20"/>
        </w:rPr>
        <w:t>e</w:t>
      </w:r>
      <w:r w:rsidRPr="000A5468">
        <w:rPr>
          <w:rStyle w:val="label"/>
          <w:rFonts w:ascii="Times New Roman" w:hAnsi="Times New Roman" w:cs="Times New Roman"/>
          <w:i/>
          <w:sz w:val="20"/>
          <w:szCs w:val="20"/>
        </w:rPr>
        <w:t xml:space="preserve">ngaged </w:t>
      </w:r>
      <w:r w:rsidR="003452E7" w:rsidRPr="000A5468">
        <w:rPr>
          <w:rStyle w:val="label"/>
          <w:rFonts w:ascii="Times New Roman" w:hAnsi="Times New Roman" w:cs="Times New Roman"/>
          <w:i/>
          <w:sz w:val="20"/>
          <w:szCs w:val="20"/>
        </w:rPr>
        <w:t>s</w:t>
      </w:r>
      <w:r w:rsidRPr="000A5468">
        <w:rPr>
          <w:rStyle w:val="label"/>
          <w:rFonts w:ascii="Times New Roman" w:hAnsi="Times New Roman" w:cs="Times New Roman"/>
          <w:i/>
          <w:sz w:val="20"/>
          <w:szCs w:val="20"/>
        </w:rPr>
        <w:t xml:space="preserve">cholarship: Contemporary </w:t>
      </w:r>
      <w:r w:rsidR="003452E7" w:rsidRPr="000A5468">
        <w:rPr>
          <w:rStyle w:val="label"/>
          <w:rFonts w:ascii="Times New Roman" w:hAnsi="Times New Roman" w:cs="Times New Roman"/>
          <w:i/>
          <w:sz w:val="20"/>
          <w:szCs w:val="20"/>
        </w:rPr>
        <w:t>l</w:t>
      </w:r>
      <w:r w:rsidRPr="000A5468">
        <w:rPr>
          <w:rStyle w:val="label"/>
          <w:rFonts w:ascii="Times New Roman" w:hAnsi="Times New Roman" w:cs="Times New Roman"/>
          <w:i/>
          <w:sz w:val="20"/>
          <w:szCs w:val="20"/>
        </w:rPr>
        <w:t xml:space="preserve">andscapes, </w:t>
      </w:r>
      <w:r w:rsidR="003452E7" w:rsidRPr="000A5468">
        <w:rPr>
          <w:rStyle w:val="label"/>
          <w:rFonts w:ascii="Times New Roman" w:hAnsi="Times New Roman" w:cs="Times New Roman"/>
          <w:i/>
          <w:sz w:val="20"/>
          <w:szCs w:val="20"/>
        </w:rPr>
        <w:t>f</w:t>
      </w:r>
      <w:r w:rsidRPr="000A5468">
        <w:rPr>
          <w:rStyle w:val="label"/>
          <w:rFonts w:ascii="Times New Roman" w:hAnsi="Times New Roman" w:cs="Times New Roman"/>
          <w:i/>
          <w:sz w:val="20"/>
          <w:szCs w:val="20"/>
        </w:rPr>
        <w:t xml:space="preserve">uture </w:t>
      </w:r>
      <w:r w:rsidR="003452E7" w:rsidRPr="000A5468">
        <w:rPr>
          <w:rStyle w:val="label"/>
          <w:rFonts w:ascii="Times New Roman" w:hAnsi="Times New Roman" w:cs="Times New Roman"/>
          <w:i/>
          <w:sz w:val="20"/>
          <w:szCs w:val="20"/>
        </w:rPr>
        <w:t>d</w:t>
      </w:r>
      <w:r w:rsidRPr="000A5468">
        <w:rPr>
          <w:rStyle w:val="label"/>
          <w:rFonts w:ascii="Times New Roman" w:hAnsi="Times New Roman" w:cs="Times New Roman"/>
          <w:i/>
          <w:sz w:val="20"/>
          <w:szCs w:val="20"/>
        </w:rPr>
        <w:t xml:space="preserve">irections, Volume 1: Institutional </w:t>
      </w:r>
      <w:r w:rsidR="003452E7" w:rsidRPr="000A5468">
        <w:rPr>
          <w:rStyle w:val="label"/>
          <w:rFonts w:ascii="Times New Roman" w:hAnsi="Times New Roman" w:cs="Times New Roman"/>
          <w:i/>
          <w:sz w:val="20"/>
          <w:szCs w:val="20"/>
        </w:rPr>
        <w:t>c</w:t>
      </w:r>
      <w:r w:rsidRPr="000A5468">
        <w:rPr>
          <w:rStyle w:val="label"/>
          <w:rFonts w:ascii="Times New Roman" w:hAnsi="Times New Roman" w:cs="Times New Roman"/>
          <w:i/>
          <w:sz w:val="20"/>
          <w:szCs w:val="20"/>
        </w:rPr>
        <w:t>hange</w:t>
      </w:r>
      <w:r w:rsidRPr="000A5468">
        <w:rPr>
          <w:rFonts w:ascii="Times New Roman" w:hAnsi="Times New Roman" w:cs="Times New Roman"/>
          <w:sz w:val="20"/>
          <w:szCs w:val="20"/>
        </w:rPr>
        <w:t xml:space="preserve">. East Lansing, MI: Michigan State University. </w:t>
      </w:r>
      <w:r w:rsidRPr="000A5468">
        <w:rPr>
          <w:rFonts w:ascii="Times New Roman" w:hAnsi="Times New Roman" w:cs="Times New Roman"/>
          <w:sz w:val="20"/>
          <w:szCs w:val="20"/>
        </w:rPr>
        <w:br/>
      </w:r>
      <w:r w:rsidR="00844908" w:rsidRPr="000A5468">
        <w:rPr>
          <w:rFonts w:ascii="Times New Roman" w:hAnsi="Times New Roman" w:cs="Times New Roman"/>
          <w:sz w:val="20"/>
          <w:szCs w:val="20"/>
        </w:rPr>
        <w:br/>
      </w:r>
      <w:r w:rsidRPr="000A5468">
        <w:rPr>
          <w:rFonts w:ascii="Times New Roman" w:hAnsi="Times New Roman" w:cs="Times New Roman"/>
          <w:sz w:val="20"/>
          <w:szCs w:val="20"/>
        </w:rPr>
        <w:t xml:space="preserve">Fitzgerald, H., Seifer, C., Sarena D. (2010). </w:t>
      </w:r>
      <w:r w:rsidRPr="000A5468">
        <w:rPr>
          <w:rStyle w:val="label"/>
          <w:rFonts w:ascii="Times New Roman" w:hAnsi="Times New Roman" w:cs="Times New Roman"/>
          <w:i/>
          <w:sz w:val="20"/>
          <w:szCs w:val="20"/>
        </w:rPr>
        <w:t>Tra</w:t>
      </w:r>
      <w:r w:rsidR="00A05EDD" w:rsidRPr="000A5468">
        <w:rPr>
          <w:rStyle w:val="label"/>
          <w:rFonts w:ascii="Times New Roman" w:hAnsi="Times New Roman" w:cs="Times New Roman"/>
          <w:i/>
          <w:sz w:val="20"/>
          <w:szCs w:val="20"/>
        </w:rPr>
        <w:t xml:space="preserve">nsformation in </w:t>
      </w:r>
      <w:r w:rsidR="003452E7" w:rsidRPr="000A5468">
        <w:rPr>
          <w:rStyle w:val="label"/>
          <w:rFonts w:ascii="Times New Roman" w:hAnsi="Times New Roman" w:cs="Times New Roman"/>
          <w:i/>
          <w:sz w:val="20"/>
          <w:szCs w:val="20"/>
        </w:rPr>
        <w:t>h</w:t>
      </w:r>
      <w:r w:rsidR="00A05EDD" w:rsidRPr="000A5468">
        <w:rPr>
          <w:rStyle w:val="label"/>
          <w:rFonts w:ascii="Times New Roman" w:hAnsi="Times New Roman" w:cs="Times New Roman"/>
          <w:i/>
          <w:sz w:val="20"/>
          <w:szCs w:val="20"/>
        </w:rPr>
        <w:t xml:space="preserve">igher </w:t>
      </w:r>
      <w:r w:rsidR="003452E7" w:rsidRPr="000A5468">
        <w:rPr>
          <w:rStyle w:val="label"/>
          <w:rFonts w:ascii="Times New Roman" w:hAnsi="Times New Roman" w:cs="Times New Roman"/>
          <w:i/>
          <w:sz w:val="20"/>
          <w:szCs w:val="20"/>
        </w:rPr>
        <w:t>e</w:t>
      </w:r>
      <w:r w:rsidR="00A05EDD" w:rsidRPr="000A5468">
        <w:rPr>
          <w:rStyle w:val="label"/>
          <w:rFonts w:ascii="Times New Roman" w:hAnsi="Times New Roman" w:cs="Times New Roman"/>
          <w:i/>
          <w:sz w:val="20"/>
          <w:szCs w:val="20"/>
        </w:rPr>
        <w:t>ducation</w:t>
      </w:r>
      <w:r w:rsidRPr="000A5468">
        <w:rPr>
          <w:rStyle w:val="label"/>
          <w:rFonts w:ascii="Times New Roman" w:hAnsi="Times New Roman" w:cs="Times New Roman"/>
          <w:i/>
          <w:sz w:val="20"/>
          <w:szCs w:val="20"/>
        </w:rPr>
        <w:t xml:space="preserve">: Handbook of </w:t>
      </w:r>
      <w:r w:rsidR="003452E7" w:rsidRPr="000A5468">
        <w:rPr>
          <w:rStyle w:val="label"/>
          <w:rFonts w:ascii="Times New Roman" w:hAnsi="Times New Roman" w:cs="Times New Roman"/>
          <w:i/>
          <w:sz w:val="20"/>
          <w:szCs w:val="20"/>
        </w:rPr>
        <w:t>e</w:t>
      </w:r>
      <w:r w:rsidRPr="000A5468">
        <w:rPr>
          <w:rStyle w:val="label"/>
          <w:rFonts w:ascii="Times New Roman" w:hAnsi="Times New Roman" w:cs="Times New Roman"/>
          <w:i/>
          <w:sz w:val="20"/>
          <w:szCs w:val="20"/>
        </w:rPr>
        <w:t xml:space="preserve">ngaged </w:t>
      </w:r>
      <w:r w:rsidR="003452E7" w:rsidRPr="000A5468">
        <w:rPr>
          <w:rStyle w:val="label"/>
          <w:rFonts w:ascii="Times New Roman" w:hAnsi="Times New Roman" w:cs="Times New Roman"/>
          <w:i/>
          <w:sz w:val="20"/>
          <w:szCs w:val="20"/>
        </w:rPr>
        <w:t>s</w:t>
      </w:r>
      <w:r w:rsidRPr="000A5468">
        <w:rPr>
          <w:rStyle w:val="label"/>
          <w:rFonts w:ascii="Times New Roman" w:hAnsi="Times New Roman" w:cs="Times New Roman"/>
          <w:i/>
          <w:sz w:val="20"/>
          <w:szCs w:val="20"/>
        </w:rPr>
        <w:t xml:space="preserve">cholarship: Contemporary </w:t>
      </w:r>
      <w:r w:rsidR="003452E7" w:rsidRPr="000A5468">
        <w:rPr>
          <w:rStyle w:val="label"/>
          <w:rFonts w:ascii="Times New Roman" w:hAnsi="Times New Roman" w:cs="Times New Roman"/>
          <w:i/>
          <w:sz w:val="20"/>
          <w:szCs w:val="20"/>
        </w:rPr>
        <w:t>l</w:t>
      </w:r>
      <w:r w:rsidRPr="000A5468">
        <w:rPr>
          <w:rStyle w:val="label"/>
          <w:rFonts w:ascii="Times New Roman" w:hAnsi="Times New Roman" w:cs="Times New Roman"/>
          <w:i/>
          <w:sz w:val="20"/>
          <w:szCs w:val="20"/>
        </w:rPr>
        <w:t xml:space="preserve">andscapes, </w:t>
      </w:r>
      <w:r w:rsidR="003452E7" w:rsidRPr="000A5468">
        <w:rPr>
          <w:rStyle w:val="label"/>
          <w:rFonts w:ascii="Times New Roman" w:hAnsi="Times New Roman" w:cs="Times New Roman"/>
          <w:i/>
          <w:sz w:val="20"/>
          <w:szCs w:val="20"/>
        </w:rPr>
        <w:t>f</w:t>
      </w:r>
      <w:r w:rsidRPr="000A5468">
        <w:rPr>
          <w:rStyle w:val="label"/>
          <w:rFonts w:ascii="Times New Roman" w:hAnsi="Times New Roman" w:cs="Times New Roman"/>
          <w:i/>
          <w:sz w:val="20"/>
          <w:szCs w:val="20"/>
        </w:rPr>
        <w:t xml:space="preserve">uture </w:t>
      </w:r>
      <w:r w:rsidR="003452E7" w:rsidRPr="000A5468">
        <w:rPr>
          <w:rStyle w:val="label"/>
          <w:rFonts w:ascii="Times New Roman" w:hAnsi="Times New Roman" w:cs="Times New Roman"/>
          <w:i/>
          <w:sz w:val="20"/>
          <w:szCs w:val="20"/>
        </w:rPr>
        <w:t>d</w:t>
      </w:r>
      <w:r w:rsidRPr="000A5468">
        <w:rPr>
          <w:rStyle w:val="label"/>
          <w:rFonts w:ascii="Times New Roman" w:hAnsi="Times New Roman" w:cs="Times New Roman"/>
          <w:i/>
          <w:sz w:val="20"/>
          <w:szCs w:val="20"/>
        </w:rPr>
        <w:t>irections, Volume 2 : Community-</w:t>
      </w:r>
      <w:r w:rsidR="003452E7" w:rsidRPr="000A5468">
        <w:rPr>
          <w:rStyle w:val="label"/>
          <w:rFonts w:ascii="Times New Roman" w:hAnsi="Times New Roman" w:cs="Times New Roman"/>
          <w:i/>
          <w:sz w:val="20"/>
          <w:szCs w:val="20"/>
        </w:rPr>
        <w:t>c</w:t>
      </w:r>
      <w:r w:rsidRPr="000A5468">
        <w:rPr>
          <w:rStyle w:val="label"/>
          <w:rFonts w:ascii="Times New Roman" w:hAnsi="Times New Roman" w:cs="Times New Roman"/>
          <w:i/>
          <w:sz w:val="20"/>
          <w:szCs w:val="20"/>
        </w:rPr>
        <w:t xml:space="preserve">ampus </w:t>
      </w:r>
      <w:r w:rsidR="003452E7" w:rsidRPr="000A5468">
        <w:rPr>
          <w:rStyle w:val="label"/>
          <w:rFonts w:ascii="Times New Roman" w:hAnsi="Times New Roman" w:cs="Times New Roman"/>
          <w:i/>
          <w:sz w:val="20"/>
          <w:szCs w:val="20"/>
        </w:rPr>
        <w:t>p</w:t>
      </w:r>
      <w:r w:rsidRPr="000A5468">
        <w:rPr>
          <w:rStyle w:val="label"/>
          <w:rFonts w:ascii="Times New Roman" w:hAnsi="Times New Roman" w:cs="Times New Roman"/>
          <w:i/>
          <w:sz w:val="20"/>
          <w:szCs w:val="20"/>
        </w:rPr>
        <w:t xml:space="preserve">artnerships. </w:t>
      </w:r>
      <w:r w:rsidRPr="000A5468">
        <w:rPr>
          <w:rStyle w:val="label"/>
          <w:rFonts w:ascii="Times New Roman" w:hAnsi="Times New Roman" w:cs="Times New Roman"/>
          <w:sz w:val="20"/>
          <w:szCs w:val="20"/>
        </w:rPr>
        <w:t xml:space="preserve">East Lansing, MI: Michigan State University. </w:t>
      </w:r>
      <w:r w:rsidRPr="000A5468">
        <w:rPr>
          <w:rFonts w:ascii="Times New Roman" w:hAnsi="Times New Roman" w:cs="Times New Roman"/>
          <w:sz w:val="20"/>
          <w:szCs w:val="20"/>
        </w:rPr>
        <w:br/>
      </w:r>
    </w:p>
    <w:p w:rsidR="00796EA1" w:rsidRPr="000A5468" w:rsidRDefault="003969E6" w:rsidP="002340EB">
      <w:pPr>
        <w:pStyle w:val="Pa39"/>
        <w:spacing w:after="160"/>
        <w:rPr>
          <w:rFonts w:ascii="Times New Roman" w:hAnsi="Times New Roman" w:cs="Times New Roman"/>
          <w:color w:val="000000"/>
          <w:sz w:val="20"/>
          <w:szCs w:val="20"/>
        </w:rPr>
      </w:pPr>
      <w:r w:rsidRPr="000A5468">
        <w:rPr>
          <w:rFonts w:ascii="Times New Roman" w:hAnsi="Times New Roman" w:cs="Times New Roman"/>
          <w:sz w:val="20"/>
          <w:szCs w:val="20"/>
        </w:rPr>
        <w:t xml:space="preserve">Foster, K.M. (2010) Taking a stand: Community-engaged scholarship on the tenure track. </w:t>
      </w:r>
      <w:r w:rsidRPr="000A5468">
        <w:rPr>
          <w:rFonts w:ascii="Times New Roman" w:hAnsi="Times New Roman" w:cs="Times New Roman"/>
          <w:i/>
          <w:iCs/>
          <w:sz w:val="20"/>
          <w:szCs w:val="20"/>
        </w:rPr>
        <w:t xml:space="preserve">Journal of Community Engagement and Scholarship, </w:t>
      </w:r>
      <w:r w:rsidRPr="000A5468">
        <w:rPr>
          <w:rFonts w:ascii="Times New Roman" w:hAnsi="Times New Roman" w:cs="Times New Roman"/>
          <w:sz w:val="20"/>
          <w:szCs w:val="20"/>
        </w:rPr>
        <w:t xml:space="preserve">3 (2), 20-30. </w:t>
      </w:r>
      <w:r w:rsidRPr="000A5468">
        <w:rPr>
          <w:rFonts w:ascii="Times New Roman" w:hAnsi="Times New Roman" w:cs="Times New Roman"/>
          <w:sz w:val="20"/>
          <w:szCs w:val="20"/>
        </w:rPr>
        <w:br/>
      </w:r>
      <w:r w:rsidR="00844908" w:rsidRPr="000A5468">
        <w:rPr>
          <w:rFonts w:eastAsia="Times New Roman" w:cstheme="minorHAnsi"/>
          <w:sz w:val="20"/>
          <w:szCs w:val="20"/>
        </w:rPr>
        <w:br/>
      </w:r>
      <w:r w:rsidRPr="000A5468">
        <w:rPr>
          <w:rFonts w:ascii="Times New Roman" w:hAnsi="Times New Roman" w:cs="Times New Roman"/>
          <w:color w:val="000000"/>
          <w:sz w:val="20"/>
          <w:szCs w:val="20"/>
        </w:rPr>
        <w:t>Gibson, C. M.</w:t>
      </w:r>
      <w:r w:rsidR="003452E7" w:rsidRPr="000A5468">
        <w:rPr>
          <w:rFonts w:ascii="Times New Roman" w:hAnsi="Times New Roman" w:cs="Times New Roman"/>
          <w:color w:val="000000"/>
          <w:sz w:val="20"/>
          <w:szCs w:val="20"/>
        </w:rPr>
        <w:t xml:space="preserve"> (2006).</w:t>
      </w:r>
      <w:r w:rsidRPr="000A5468">
        <w:rPr>
          <w:rFonts w:ascii="Times New Roman" w:hAnsi="Times New Roman" w:cs="Times New Roman"/>
          <w:color w:val="000000"/>
          <w:sz w:val="20"/>
          <w:szCs w:val="20"/>
        </w:rPr>
        <w:t xml:space="preserve"> </w:t>
      </w:r>
      <w:r w:rsidRPr="000A5468">
        <w:rPr>
          <w:rFonts w:ascii="Times New Roman" w:hAnsi="Times New Roman" w:cs="Times New Roman"/>
          <w:i/>
          <w:iCs/>
          <w:color w:val="000000"/>
          <w:sz w:val="20"/>
          <w:szCs w:val="20"/>
        </w:rPr>
        <w:t xml:space="preserve">New </w:t>
      </w:r>
      <w:r w:rsidR="003452E7" w:rsidRPr="000A5468">
        <w:rPr>
          <w:rFonts w:ascii="Times New Roman" w:hAnsi="Times New Roman" w:cs="Times New Roman"/>
          <w:i/>
          <w:iCs/>
          <w:color w:val="000000"/>
          <w:sz w:val="20"/>
          <w:szCs w:val="20"/>
        </w:rPr>
        <w:t>t</w:t>
      </w:r>
      <w:r w:rsidRPr="000A5468">
        <w:rPr>
          <w:rFonts w:ascii="Times New Roman" w:hAnsi="Times New Roman" w:cs="Times New Roman"/>
          <w:i/>
          <w:iCs/>
          <w:color w:val="000000"/>
          <w:sz w:val="20"/>
          <w:szCs w:val="20"/>
        </w:rPr>
        <w:t xml:space="preserve">imes </w:t>
      </w:r>
      <w:r w:rsidR="003452E7" w:rsidRPr="000A5468">
        <w:rPr>
          <w:rFonts w:ascii="Times New Roman" w:hAnsi="Times New Roman" w:cs="Times New Roman"/>
          <w:i/>
          <w:iCs/>
          <w:color w:val="000000"/>
          <w:sz w:val="20"/>
          <w:szCs w:val="20"/>
        </w:rPr>
        <w:t>d</w:t>
      </w:r>
      <w:r w:rsidRPr="000A5468">
        <w:rPr>
          <w:rFonts w:ascii="Times New Roman" w:hAnsi="Times New Roman" w:cs="Times New Roman"/>
          <w:i/>
          <w:iCs/>
          <w:color w:val="000000"/>
          <w:sz w:val="20"/>
          <w:szCs w:val="20"/>
        </w:rPr>
        <w:t xml:space="preserve">emand </w:t>
      </w:r>
      <w:r w:rsidR="003452E7" w:rsidRPr="000A5468">
        <w:rPr>
          <w:rFonts w:ascii="Times New Roman" w:hAnsi="Times New Roman" w:cs="Times New Roman"/>
          <w:i/>
          <w:iCs/>
          <w:color w:val="000000"/>
          <w:sz w:val="20"/>
          <w:szCs w:val="20"/>
        </w:rPr>
        <w:t>n</w:t>
      </w:r>
      <w:r w:rsidRPr="000A5468">
        <w:rPr>
          <w:rFonts w:ascii="Times New Roman" w:hAnsi="Times New Roman" w:cs="Times New Roman"/>
          <w:i/>
          <w:iCs/>
          <w:color w:val="000000"/>
          <w:sz w:val="20"/>
          <w:szCs w:val="20"/>
        </w:rPr>
        <w:t xml:space="preserve">ew </w:t>
      </w:r>
      <w:r w:rsidR="003452E7" w:rsidRPr="000A5468">
        <w:rPr>
          <w:rFonts w:ascii="Times New Roman" w:hAnsi="Times New Roman" w:cs="Times New Roman"/>
          <w:i/>
          <w:iCs/>
          <w:color w:val="000000"/>
          <w:sz w:val="20"/>
          <w:szCs w:val="20"/>
        </w:rPr>
        <w:t>s</w:t>
      </w:r>
      <w:r w:rsidRPr="000A5468">
        <w:rPr>
          <w:rFonts w:ascii="Times New Roman" w:hAnsi="Times New Roman" w:cs="Times New Roman"/>
          <w:i/>
          <w:iCs/>
          <w:color w:val="000000"/>
          <w:sz w:val="20"/>
          <w:szCs w:val="20"/>
        </w:rPr>
        <w:t xml:space="preserve">cholarship: Research </w:t>
      </w:r>
      <w:r w:rsidR="003452E7" w:rsidRPr="000A5468">
        <w:rPr>
          <w:rFonts w:ascii="Times New Roman" w:hAnsi="Times New Roman" w:cs="Times New Roman"/>
          <w:i/>
          <w:iCs/>
          <w:color w:val="000000"/>
          <w:sz w:val="20"/>
          <w:szCs w:val="20"/>
        </w:rPr>
        <w:t>u</w:t>
      </w:r>
      <w:r w:rsidRPr="000A5468">
        <w:rPr>
          <w:rFonts w:ascii="Times New Roman" w:hAnsi="Times New Roman" w:cs="Times New Roman"/>
          <w:i/>
          <w:iCs/>
          <w:color w:val="000000"/>
          <w:sz w:val="20"/>
          <w:szCs w:val="20"/>
        </w:rPr>
        <w:t xml:space="preserve">niversities and </w:t>
      </w:r>
      <w:r w:rsidR="003452E7" w:rsidRPr="000A5468">
        <w:rPr>
          <w:rFonts w:ascii="Times New Roman" w:hAnsi="Times New Roman" w:cs="Times New Roman"/>
          <w:i/>
          <w:iCs/>
          <w:color w:val="000000"/>
          <w:sz w:val="20"/>
          <w:szCs w:val="20"/>
        </w:rPr>
        <w:t>c</w:t>
      </w:r>
      <w:r w:rsidRPr="000A5468">
        <w:rPr>
          <w:rFonts w:ascii="Times New Roman" w:hAnsi="Times New Roman" w:cs="Times New Roman"/>
          <w:i/>
          <w:iCs/>
          <w:color w:val="000000"/>
          <w:sz w:val="20"/>
          <w:szCs w:val="20"/>
        </w:rPr>
        <w:t xml:space="preserve">ivic </w:t>
      </w:r>
      <w:r w:rsidR="003452E7" w:rsidRPr="000A5468">
        <w:rPr>
          <w:rFonts w:ascii="Times New Roman" w:hAnsi="Times New Roman" w:cs="Times New Roman"/>
          <w:i/>
          <w:iCs/>
          <w:color w:val="000000"/>
          <w:sz w:val="20"/>
          <w:szCs w:val="20"/>
        </w:rPr>
        <w:t>e</w:t>
      </w:r>
      <w:r w:rsidRPr="000A5468">
        <w:rPr>
          <w:rFonts w:ascii="Times New Roman" w:hAnsi="Times New Roman" w:cs="Times New Roman"/>
          <w:i/>
          <w:iCs/>
          <w:color w:val="000000"/>
          <w:sz w:val="20"/>
          <w:szCs w:val="20"/>
        </w:rPr>
        <w:t>ngagement–</w:t>
      </w:r>
      <w:r w:rsidR="003452E7" w:rsidRPr="000A5468">
        <w:rPr>
          <w:rFonts w:ascii="Times New Roman" w:hAnsi="Times New Roman" w:cs="Times New Roman"/>
          <w:i/>
          <w:iCs/>
          <w:color w:val="000000"/>
          <w:sz w:val="20"/>
          <w:szCs w:val="20"/>
        </w:rPr>
        <w:t>a</w:t>
      </w:r>
      <w:r w:rsidRPr="000A5468">
        <w:rPr>
          <w:rFonts w:ascii="Times New Roman" w:hAnsi="Times New Roman" w:cs="Times New Roman"/>
          <w:i/>
          <w:iCs/>
          <w:color w:val="000000"/>
          <w:sz w:val="20"/>
          <w:szCs w:val="20"/>
        </w:rPr>
        <w:t xml:space="preserve"> </w:t>
      </w:r>
      <w:r w:rsidR="003452E7" w:rsidRPr="000A5468">
        <w:rPr>
          <w:rFonts w:ascii="Times New Roman" w:hAnsi="Times New Roman" w:cs="Times New Roman"/>
          <w:i/>
          <w:iCs/>
          <w:color w:val="000000"/>
          <w:sz w:val="20"/>
          <w:szCs w:val="20"/>
        </w:rPr>
        <w:t>l</w:t>
      </w:r>
      <w:r w:rsidRPr="000A5468">
        <w:rPr>
          <w:rFonts w:ascii="Times New Roman" w:hAnsi="Times New Roman" w:cs="Times New Roman"/>
          <w:i/>
          <w:iCs/>
          <w:color w:val="000000"/>
          <w:sz w:val="20"/>
          <w:szCs w:val="20"/>
        </w:rPr>
        <w:t xml:space="preserve">eadership </w:t>
      </w:r>
      <w:r w:rsidR="003452E7" w:rsidRPr="000A5468">
        <w:rPr>
          <w:rFonts w:ascii="Times New Roman" w:hAnsi="Times New Roman" w:cs="Times New Roman"/>
          <w:i/>
          <w:iCs/>
          <w:color w:val="000000"/>
          <w:sz w:val="20"/>
          <w:szCs w:val="20"/>
        </w:rPr>
        <w:t>a</w:t>
      </w:r>
      <w:r w:rsidRPr="000A5468">
        <w:rPr>
          <w:rFonts w:ascii="Times New Roman" w:hAnsi="Times New Roman" w:cs="Times New Roman"/>
          <w:i/>
          <w:iCs/>
          <w:color w:val="000000"/>
          <w:sz w:val="20"/>
          <w:szCs w:val="20"/>
        </w:rPr>
        <w:t xml:space="preserve">genda. </w:t>
      </w:r>
      <w:r w:rsidRPr="000A5468">
        <w:rPr>
          <w:rFonts w:ascii="Times New Roman" w:hAnsi="Times New Roman" w:cs="Times New Roman"/>
          <w:color w:val="000000"/>
          <w:sz w:val="20"/>
          <w:szCs w:val="20"/>
        </w:rPr>
        <w:t>Tufts University and Campus Compact.</w:t>
      </w:r>
    </w:p>
    <w:p w:rsidR="002160C3" w:rsidRPr="000A5468" w:rsidRDefault="002160C3" w:rsidP="002160C3">
      <w:pPr>
        <w:pStyle w:val="Default"/>
        <w:rPr>
          <w:rFonts w:asciiTheme="minorHAnsi" w:hAnsiTheme="minorHAnsi" w:cstheme="minorHAnsi"/>
          <w:sz w:val="20"/>
          <w:szCs w:val="20"/>
        </w:rPr>
      </w:pPr>
      <w:r w:rsidRPr="000A5468">
        <w:rPr>
          <w:rFonts w:asciiTheme="minorHAnsi" w:hAnsiTheme="minorHAnsi" w:cstheme="minorHAnsi"/>
          <w:sz w:val="20"/>
          <w:szCs w:val="20"/>
        </w:rPr>
        <w:lastRenderedPageBreak/>
        <w:t xml:space="preserve">Glass, C., Doberneck, D., Schweiter, J. (2011). </w:t>
      </w:r>
      <w:r w:rsidRPr="000A5468">
        <w:rPr>
          <w:rFonts w:asciiTheme="minorHAnsi" w:hAnsiTheme="minorHAnsi" w:cstheme="minorHAnsi"/>
          <w:bCs/>
          <w:iCs/>
          <w:sz w:val="20"/>
          <w:szCs w:val="20"/>
        </w:rPr>
        <w:t>Unpacking faculty engagement: The types of activities faculty members report as publicly engaged scholarship during promotion and tenure.</w:t>
      </w:r>
      <w:r w:rsidRPr="000A5468">
        <w:rPr>
          <w:rFonts w:asciiTheme="minorHAnsi" w:hAnsiTheme="minorHAnsi" w:cstheme="minorHAnsi"/>
          <w:bCs/>
          <w:i/>
          <w:iCs/>
          <w:sz w:val="20"/>
          <w:szCs w:val="20"/>
        </w:rPr>
        <w:t xml:space="preserve"> </w:t>
      </w:r>
    </w:p>
    <w:p w:rsidR="002160C3" w:rsidRPr="000A5468" w:rsidRDefault="002160C3" w:rsidP="002160C3">
      <w:pPr>
        <w:autoSpaceDE w:val="0"/>
        <w:autoSpaceDN w:val="0"/>
        <w:adjustRightInd w:val="0"/>
        <w:spacing w:after="0" w:line="240" w:lineRule="auto"/>
        <w:rPr>
          <w:rFonts w:cstheme="minorHAnsi"/>
          <w:color w:val="000000"/>
          <w:sz w:val="20"/>
          <w:szCs w:val="20"/>
        </w:rPr>
      </w:pPr>
      <w:r w:rsidRPr="000A5468">
        <w:rPr>
          <w:rFonts w:cstheme="minorHAnsi"/>
          <w:sz w:val="20"/>
          <w:szCs w:val="20"/>
        </w:rPr>
        <w:t xml:space="preserve"> </w:t>
      </w:r>
      <w:r w:rsidRPr="000A5468">
        <w:rPr>
          <w:rFonts w:cstheme="minorHAnsi"/>
          <w:i/>
          <w:iCs/>
          <w:color w:val="000000"/>
          <w:sz w:val="20"/>
          <w:szCs w:val="20"/>
        </w:rPr>
        <w:t>Journal of Higher Education Outreach and Engagement</w:t>
      </w:r>
      <w:r w:rsidRPr="000A5468">
        <w:rPr>
          <w:rFonts w:cstheme="minorHAnsi"/>
          <w:color w:val="000000"/>
          <w:sz w:val="20"/>
          <w:szCs w:val="20"/>
        </w:rPr>
        <w:t>, 15(1), 7-31.</w:t>
      </w:r>
    </w:p>
    <w:p w:rsidR="003969E6" w:rsidRPr="000A5468" w:rsidRDefault="007E3A34" w:rsidP="003969E6">
      <w:pPr>
        <w:pStyle w:val="Pa39"/>
        <w:spacing w:after="160"/>
        <w:rPr>
          <w:rFonts w:ascii="Times New Roman" w:hAnsi="Times New Roman" w:cs="Times New Roman"/>
          <w:sz w:val="20"/>
          <w:szCs w:val="20"/>
        </w:rPr>
      </w:pPr>
      <w:r w:rsidRPr="000A5468">
        <w:rPr>
          <w:rFonts w:ascii="Times New Roman" w:hAnsi="Times New Roman" w:cs="Times New Roman"/>
          <w:sz w:val="20"/>
          <w:szCs w:val="20"/>
          <w:lang w:val="de-DE"/>
        </w:rPr>
        <w:br/>
      </w:r>
      <w:r w:rsidR="003969E6" w:rsidRPr="000A5468">
        <w:rPr>
          <w:rFonts w:ascii="Times New Roman" w:hAnsi="Times New Roman" w:cs="Times New Roman"/>
          <w:color w:val="000000"/>
          <w:sz w:val="20"/>
          <w:szCs w:val="20"/>
        </w:rPr>
        <w:t xml:space="preserve">Huber, M. (1999, October). </w:t>
      </w:r>
      <w:r w:rsidR="003969E6" w:rsidRPr="000A5468">
        <w:rPr>
          <w:rFonts w:ascii="Times New Roman" w:hAnsi="Times New Roman" w:cs="Times New Roman"/>
          <w:i/>
          <w:color w:val="000000"/>
          <w:sz w:val="20"/>
          <w:szCs w:val="20"/>
        </w:rPr>
        <w:t>Evaluating outreach: The scholarship of engagement for the 21st century</w:t>
      </w:r>
      <w:r w:rsidR="003969E6" w:rsidRPr="000A5468">
        <w:rPr>
          <w:rFonts w:ascii="Times New Roman" w:hAnsi="Times New Roman" w:cs="Times New Roman"/>
          <w:color w:val="000000"/>
          <w:sz w:val="20"/>
          <w:szCs w:val="20"/>
        </w:rPr>
        <w:t>. Best Practices in Outreach and Public Service Conference. Pennsylvania State University, PA.</w:t>
      </w:r>
      <w:r w:rsidR="003969E6" w:rsidRPr="000A5468">
        <w:rPr>
          <w:rFonts w:ascii="Times New Roman" w:hAnsi="Times New Roman" w:cs="Times New Roman"/>
          <w:b/>
          <w:color w:val="000000"/>
          <w:sz w:val="20"/>
          <w:szCs w:val="20"/>
        </w:rPr>
        <w:t xml:space="preserve"> </w:t>
      </w:r>
      <w:r w:rsidR="003969E6" w:rsidRPr="000A5468">
        <w:rPr>
          <w:rFonts w:ascii="Times New Roman" w:hAnsi="Times New Roman" w:cs="Times New Roman"/>
          <w:b/>
          <w:color w:val="000000"/>
          <w:sz w:val="20"/>
          <w:szCs w:val="20"/>
        </w:rPr>
        <w:br/>
      </w:r>
      <w:r w:rsidR="003969E6" w:rsidRPr="000A5468">
        <w:rPr>
          <w:rFonts w:ascii="Times New Roman" w:hAnsi="Times New Roman" w:cs="Times New Roman"/>
          <w:b/>
          <w:color w:val="000000"/>
          <w:sz w:val="20"/>
          <w:szCs w:val="20"/>
        </w:rPr>
        <w:br/>
      </w:r>
      <w:r w:rsidR="003969E6" w:rsidRPr="000A5468">
        <w:rPr>
          <w:rFonts w:ascii="Times New Roman" w:hAnsi="Times New Roman" w:cs="Times New Roman"/>
          <w:sz w:val="20"/>
          <w:szCs w:val="20"/>
        </w:rPr>
        <w:t xml:space="preserve">Jordan, C. (Ed.). (2007). </w:t>
      </w:r>
      <w:r w:rsidR="003969E6" w:rsidRPr="000A5468">
        <w:rPr>
          <w:rFonts w:ascii="Times New Roman" w:hAnsi="Times New Roman" w:cs="Times New Roman"/>
          <w:i/>
          <w:iCs/>
          <w:sz w:val="20"/>
          <w:szCs w:val="20"/>
        </w:rPr>
        <w:t xml:space="preserve">The community engaged scholarship review, promotion, and tenure package. </w:t>
      </w:r>
      <w:r w:rsidR="003969E6" w:rsidRPr="000A5468">
        <w:rPr>
          <w:rFonts w:ascii="Times New Roman" w:hAnsi="Times New Roman" w:cs="Times New Roman"/>
          <w:sz w:val="20"/>
          <w:szCs w:val="20"/>
        </w:rPr>
        <w:t xml:space="preserve">Peer Review Workgroup, Community-Engaged Scholarship for Health Collaborative, Community-Campus Partnerships for Health. Available at: </w:t>
      </w:r>
      <w:hyperlink r:id="rId15" w:history="1">
        <w:r w:rsidR="003969E6" w:rsidRPr="000A5468">
          <w:rPr>
            <w:rStyle w:val="Hyperlink"/>
            <w:rFonts w:ascii="Times New Roman" w:hAnsi="Times New Roman" w:cs="Times New Roman"/>
            <w:sz w:val="20"/>
            <w:szCs w:val="20"/>
          </w:rPr>
          <w:t>http://www.ccph.info/</w:t>
        </w:r>
      </w:hyperlink>
      <w:r w:rsidR="003969E6" w:rsidRPr="000A5468">
        <w:rPr>
          <w:rFonts w:ascii="Times New Roman" w:hAnsi="Times New Roman" w:cs="Times New Roman"/>
          <w:sz w:val="20"/>
          <w:szCs w:val="20"/>
        </w:rPr>
        <w:t>.</w:t>
      </w:r>
    </w:p>
    <w:p w:rsidR="0022640B" w:rsidRPr="000A5468" w:rsidRDefault="0022640B" w:rsidP="0022640B">
      <w:pPr>
        <w:pStyle w:val="Default"/>
        <w:rPr>
          <w:rFonts w:asciiTheme="minorHAnsi" w:hAnsiTheme="minorHAnsi" w:cstheme="minorHAnsi"/>
          <w:sz w:val="20"/>
          <w:szCs w:val="20"/>
        </w:rPr>
      </w:pPr>
      <w:r w:rsidRPr="000A5468">
        <w:rPr>
          <w:rFonts w:asciiTheme="minorHAnsi" w:hAnsiTheme="minorHAnsi" w:cstheme="minorHAnsi"/>
          <w:sz w:val="20"/>
          <w:szCs w:val="20"/>
        </w:rPr>
        <w:t>Jordan, C., Seifer, S., Sandmann, L., Gelmon, S. (2009). CES4Health.info: Develo</w:t>
      </w:r>
      <w:r w:rsidR="007E3A34" w:rsidRPr="000A5468">
        <w:rPr>
          <w:rFonts w:asciiTheme="minorHAnsi" w:hAnsiTheme="minorHAnsi" w:cstheme="minorHAnsi"/>
          <w:sz w:val="20"/>
          <w:szCs w:val="20"/>
        </w:rPr>
        <w:t>p</w:t>
      </w:r>
      <w:r w:rsidRPr="000A5468">
        <w:rPr>
          <w:rFonts w:asciiTheme="minorHAnsi" w:hAnsiTheme="minorHAnsi" w:cstheme="minorHAnsi"/>
          <w:sz w:val="20"/>
          <w:szCs w:val="20"/>
        </w:rPr>
        <w:t xml:space="preserve">ment of a mechanism for the peer review and dissemination of innovative products of community-engaged scholarship. </w:t>
      </w:r>
      <w:r w:rsidRPr="000A5468">
        <w:rPr>
          <w:rFonts w:asciiTheme="minorHAnsi" w:hAnsiTheme="minorHAnsi" w:cstheme="minorHAnsi"/>
          <w:i/>
          <w:sz w:val="20"/>
          <w:szCs w:val="20"/>
        </w:rPr>
        <w:t>International Journal of Prevention Practice and Research, 1</w:t>
      </w:r>
      <w:r w:rsidRPr="000A5468">
        <w:rPr>
          <w:rFonts w:asciiTheme="minorHAnsi" w:hAnsiTheme="minorHAnsi" w:cstheme="minorHAnsi"/>
          <w:sz w:val="20"/>
          <w:szCs w:val="20"/>
        </w:rPr>
        <w:t xml:space="preserve"> (1), 21-28.</w:t>
      </w:r>
    </w:p>
    <w:p w:rsidR="0022640B" w:rsidRPr="000A5468" w:rsidRDefault="0022640B" w:rsidP="0022640B">
      <w:pPr>
        <w:pStyle w:val="Default"/>
        <w:rPr>
          <w:sz w:val="20"/>
          <w:szCs w:val="20"/>
        </w:rPr>
      </w:pPr>
    </w:p>
    <w:p w:rsidR="008224E2" w:rsidRPr="00814C92" w:rsidRDefault="008224E2" w:rsidP="008224E2">
      <w:pPr>
        <w:pStyle w:val="Default"/>
        <w:rPr>
          <w:rFonts w:asciiTheme="minorHAnsi" w:hAnsiTheme="minorHAnsi" w:cstheme="minorHAnsi"/>
          <w:sz w:val="20"/>
          <w:szCs w:val="20"/>
        </w:rPr>
      </w:pPr>
      <w:r w:rsidRPr="00814C92">
        <w:rPr>
          <w:rFonts w:asciiTheme="minorHAnsi" w:hAnsiTheme="minorHAnsi" w:cstheme="minorHAnsi"/>
          <w:sz w:val="20"/>
          <w:szCs w:val="20"/>
        </w:rPr>
        <w:t xml:space="preserve">Lynton, E. (1995). </w:t>
      </w:r>
      <w:r w:rsidRPr="00814C92">
        <w:rPr>
          <w:rFonts w:asciiTheme="minorHAnsi" w:hAnsiTheme="minorHAnsi" w:cstheme="minorHAnsi"/>
          <w:i/>
          <w:sz w:val="20"/>
          <w:szCs w:val="20"/>
        </w:rPr>
        <w:t>Making the case for professional service. Forum on faculty roles &amp; rewards.</w:t>
      </w:r>
      <w:r w:rsidRPr="00814C92">
        <w:rPr>
          <w:rFonts w:asciiTheme="minorHAnsi" w:hAnsiTheme="minorHAnsi" w:cstheme="minorHAnsi"/>
          <w:sz w:val="20"/>
          <w:szCs w:val="20"/>
        </w:rPr>
        <w:t xml:space="preserve"> Washington, D.C.: American Association for Higher Education. </w:t>
      </w:r>
    </w:p>
    <w:p w:rsidR="008224E2" w:rsidRDefault="008224E2" w:rsidP="004A241C">
      <w:pPr>
        <w:spacing w:after="0" w:line="240" w:lineRule="auto"/>
        <w:rPr>
          <w:rFonts w:ascii="Times New Roman" w:eastAsia="Times New Roman" w:hAnsi="Times New Roman" w:cs="Times New Roman"/>
          <w:sz w:val="20"/>
          <w:szCs w:val="20"/>
        </w:rPr>
      </w:pPr>
    </w:p>
    <w:p w:rsidR="004A241C" w:rsidRPr="004A241C" w:rsidRDefault="004A241C" w:rsidP="004A241C">
      <w:pPr>
        <w:spacing w:after="0" w:line="240" w:lineRule="auto"/>
        <w:rPr>
          <w:sz w:val="20"/>
          <w:szCs w:val="20"/>
        </w:rPr>
      </w:pPr>
      <w:r w:rsidRPr="004A241C">
        <w:rPr>
          <w:rFonts w:ascii="Times New Roman" w:eastAsia="Times New Roman" w:hAnsi="Times New Roman" w:cs="Times New Roman"/>
          <w:sz w:val="20"/>
          <w:szCs w:val="20"/>
        </w:rPr>
        <w:t xml:space="preserve">Lynton, E. &amp; Elman, S. (1987). </w:t>
      </w:r>
      <w:r w:rsidRPr="004A241C">
        <w:rPr>
          <w:i/>
          <w:sz w:val="20"/>
          <w:szCs w:val="20"/>
        </w:rPr>
        <w:t>New priorities for the university. Meeting society's needs for applied knowledge and competent individuals. The Jossey-Bass Higher Education Series</w:t>
      </w:r>
      <w:r w:rsidRPr="004A241C">
        <w:rPr>
          <w:sz w:val="20"/>
          <w:szCs w:val="20"/>
        </w:rPr>
        <w:t>. San Francisco, CA: Jossey-Bass.</w:t>
      </w:r>
    </w:p>
    <w:p w:rsidR="004A241C" w:rsidRDefault="004A241C" w:rsidP="003969E6">
      <w:pPr>
        <w:autoSpaceDE w:val="0"/>
        <w:autoSpaceDN w:val="0"/>
        <w:adjustRightInd w:val="0"/>
        <w:spacing w:after="0" w:line="240" w:lineRule="auto"/>
        <w:rPr>
          <w:rFonts w:ascii="Times New Roman" w:hAnsi="Times New Roman" w:cs="Times New Roman"/>
          <w:sz w:val="20"/>
          <w:szCs w:val="20"/>
        </w:rPr>
      </w:pPr>
    </w:p>
    <w:p w:rsidR="003969E6" w:rsidRPr="000A5468" w:rsidRDefault="0093212A" w:rsidP="003969E6">
      <w:pPr>
        <w:autoSpaceDE w:val="0"/>
        <w:autoSpaceDN w:val="0"/>
        <w:adjustRightInd w:val="0"/>
        <w:spacing w:after="0" w:line="240" w:lineRule="auto"/>
        <w:rPr>
          <w:rFonts w:ascii="Times New Roman" w:hAnsi="Times New Roman" w:cs="Times New Roman"/>
          <w:sz w:val="20"/>
          <w:szCs w:val="20"/>
        </w:rPr>
      </w:pPr>
      <w:r w:rsidRPr="000A5468">
        <w:rPr>
          <w:rFonts w:ascii="Times New Roman" w:hAnsi="Times New Roman" w:cs="Times New Roman"/>
          <w:sz w:val="20"/>
          <w:szCs w:val="20"/>
        </w:rPr>
        <w:t>Moore, T L., &amp; Ward, K. (2008). Documenting engagement: Faculty perspectives on self</w:t>
      </w:r>
      <w:r w:rsidR="00FB2E58" w:rsidRPr="000A5468">
        <w:rPr>
          <w:rFonts w:ascii="Times New Roman" w:hAnsi="Times New Roman" w:cs="Times New Roman"/>
          <w:sz w:val="20"/>
          <w:szCs w:val="20"/>
        </w:rPr>
        <w:t xml:space="preserve"> </w:t>
      </w:r>
      <w:r w:rsidRPr="000A5468">
        <w:rPr>
          <w:rFonts w:ascii="Times New Roman" w:hAnsi="Times New Roman" w:cs="Times New Roman"/>
          <w:sz w:val="20"/>
          <w:szCs w:val="20"/>
        </w:rPr>
        <w:t>representation</w:t>
      </w:r>
      <w:r w:rsidR="00FB2E58" w:rsidRPr="000A5468">
        <w:rPr>
          <w:rFonts w:ascii="Times New Roman" w:hAnsi="Times New Roman" w:cs="Times New Roman"/>
          <w:sz w:val="20"/>
          <w:szCs w:val="20"/>
        </w:rPr>
        <w:t xml:space="preserve"> </w:t>
      </w:r>
      <w:r w:rsidRPr="000A5468">
        <w:rPr>
          <w:rFonts w:ascii="Times New Roman" w:hAnsi="Times New Roman" w:cs="Times New Roman"/>
          <w:sz w:val="20"/>
          <w:szCs w:val="20"/>
        </w:rPr>
        <w:t xml:space="preserve">for promotion and tenure. </w:t>
      </w:r>
      <w:r w:rsidRPr="000A5468">
        <w:rPr>
          <w:rFonts w:ascii="Times New Roman" w:hAnsi="Times New Roman" w:cs="Times New Roman"/>
          <w:i/>
          <w:iCs/>
          <w:sz w:val="20"/>
          <w:szCs w:val="20"/>
        </w:rPr>
        <w:t>Journal of Higher Education Outreach and</w:t>
      </w:r>
      <w:r w:rsidR="00FB2E58" w:rsidRPr="000A5468">
        <w:rPr>
          <w:rFonts w:ascii="Times New Roman" w:hAnsi="Times New Roman" w:cs="Times New Roman"/>
          <w:i/>
          <w:iCs/>
          <w:sz w:val="20"/>
          <w:szCs w:val="20"/>
        </w:rPr>
        <w:t xml:space="preserve"> </w:t>
      </w:r>
      <w:r w:rsidRPr="000A5468">
        <w:rPr>
          <w:rFonts w:ascii="Times New Roman" w:hAnsi="Times New Roman" w:cs="Times New Roman"/>
          <w:i/>
          <w:iCs/>
          <w:sz w:val="20"/>
          <w:szCs w:val="20"/>
        </w:rPr>
        <w:t>Engagement</w:t>
      </w:r>
      <w:r w:rsidRPr="000A5468">
        <w:rPr>
          <w:rFonts w:ascii="Times New Roman" w:hAnsi="Times New Roman" w:cs="Times New Roman"/>
          <w:sz w:val="20"/>
          <w:szCs w:val="20"/>
        </w:rPr>
        <w:t>, 12(4), 5</w:t>
      </w:r>
      <w:r w:rsidRPr="000A5468">
        <w:rPr>
          <w:rFonts w:ascii="Calibri" w:hAnsi="Calibri" w:cs="Times New Roman"/>
          <w:sz w:val="20"/>
          <w:szCs w:val="20"/>
        </w:rPr>
        <w:t>‐</w:t>
      </w:r>
      <w:r w:rsidRPr="000A5468">
        <w:rPr>
          <w:rFonts w:ascii="Times New Roman" w:hAnsi="Times New Roman" w:cs="Times New Roman"/>
          <w:sz w:val="20"/>
          <w:szCs w:val="20"/>
        </w:rPr>
        <w:t>27.</w:t>
      </w:r>
      <w:r w:rsidR="00FB2E58" w:rsidRPr="000A5468">
        <w:rPr>
          <w:rFonts w:ascii="Times New Roman" w:hAnsi="Times New Roman" w:cs="Times New Roman"/>
          <w:sz w:val="20"/>
          <w:szCs w:val="20"/>
        </w:rPr>
        <w:br/>
      </w:r>
      <w:r w:rsidR="00844908" w:rsidRPr="000A5468">
        <w:rPr>
          <w:sz w:val="20"/>
          <w:szCs w:val="20"/>
        </w:rPr>
        <w:br/>
      </w:r>
      <w:r w:rsidR="003969E6" w:rsidRPr="000A5468">
        <w:rPr>
          <w:rFonts w:ascii="Times New Roman" w:hAnsi="Times New Roman" w:cs="Times New Roman"/>
          <w:sz w:val="20"/>
          <w:szCs w:val="20"/>
        </w:rPr>
        <w:t>O’Meara, K. A. (2002). Uncovering the values in faculty evaluation of service as scholarship.</w:t>
      </w:r>
    </w:p>
    <w:p w:rsidR="003969E6" w:rsidRPr="000A5468" w:rsidRDefault="003969E6" w:rsidP="003969E6">
      <w:pPr>
        <w:autoSpaceDE w:val="0"/>
        <w:autoSpaceDN w:val="0"/>
        <w:adjustRightInd w:val="0"/>
        <w:spacing w:after="0" w:line="240" w:lineRule="auto"/>
        <w:rPr>
          <w:rFonts w:ascii="Times New Roman" w:hAnsi="Times New Roman" w:cs="Times New Roman"/>
          <w:sz w:val="20"/>
          <w:szCs w:val="20"/>
        </w:rPr>
      </w:pPr>
      <w:r w:rsidRPr="000A5468">
        <w:rPr>
          <w:rFonts w:ascii="Times New Roman" w:hAnsi="Times New Roman" w:cs="Times New Roman"/>
          <w:i/>
          <w:iCs/>
          <w:sz w:val="20"/>
          <w:szCs w:val="20"/>
        </w:rPr>
        <w:t>Review of Higher Education</w:t>
      </w:r>
      <w:r w:rsidRPr="000A5468">
        <w:rPr>
          <w:rFonts w:ascii="Times New Roman" w:hAnsi="Times New Roman" w:cs="Times New Roman"/>
          <w:sz w:val="20"/>
          <w:szCs w:val="20"/>
        </w:rPr>
        <w:t xml:space="preserve">, </w:t>
      </w:r>
      <w:r w:rsidRPr="000A5468">
        <w:rPr>
          <w:rFonts w:ascii="Times New Roman" w:hAnsi="Times New Roman" w:cs="Times New Roman"/>
          <w:i/>
          <w:iCs/>
          <w:sz w:val="20"/>
          <w:szCs w:val="20"/>
        </w:rPr>
        <w:t>26</w:t>
      </w:r>
      <w:r w:rsidRPr="000A5468">
        <w:rPr>
          <w:rFonts w:ascii="Times New Roman" w:hAnsi="Times New Roman" w:cs="Times New Roman"/>
          <w:sz w:val="20"/>
          <w:szCs w:val="20"/>
        </w:rPr>
        <w:t>(1), 57–80.</w:t>
      </w:r>
    </w:p>
    <w:p w:rsidR="003C1378" w:rsidRPr="000A5468" w:rsidRDefault="003C1378" w:rsidP="003969E6">
      <w:pPr>
        <w:autoSpaceDE w:val="0"/>
        <w:autoSpaceDN w:val="0"/>
        <w:adjustRightInd w:val="0"/>
        <w:spacing w:after="0" w:line="240" w:lineRule="auto"/>
        <w:rPr>
          <w:rFonts w:ascii="Times New Roman" w:hAnsi="Times New Roman" w:cs="Times New Roman"/>
          <w:b/>
          <w:sz w:val="20"/>
          <w:szCs w:val="20"/>
        </w:rPr>
      </w:pPr>
    </w:p>
    <w:p w:rsidR="00721C2D" w:rsidRPr="000A5468" w:rsidRDefault="00FB2E58" w:rsidP="002340EB">
      <w:pPr>
        <w:autoSpaceDE w:val="0"/>
        <w:autoSpaceDN w:val="0"/>
        <w:adjustRightInd w:val="0"/>
        <w:spacing w:after="0" w:line="240" w:lineRule="auto"/>
        <w:rPr>
          <w:rFonts w:ascii="Times New Roman" w:eastAsia="Times New Roman" w:hAnsi="Times New Roman" w:cs="Times New Roman"/>
          <w:sz w:val="20"/>
          <w:szCs w:val="20"/>
        </w:rPr>
      </w:pPr>
      <w:r w:rsidRPr="000A5468">
        <w:rPr>
          <w:rFonts w:ascii="Times New Roman" w:eastAsia="Times New Roman" w:hAnsi="Times New Roman" w:cs="Times New Roman"/>
          <w:bCs/>
          <w:sz w:val="20"/>
          <w:szCs w:val="20"/>
        </w:rPr>
        <w:t xml:space="preserve">O’Meara, K. (2003). </w:t>
      </w:r>
      <w:r w:rsidR="00721C2D" w:rsidRPr="000A5468">
        <w:rPr>
          <w:rFonts w:ascii="Times New Roman" w:eastAsia="Times New Roman" w:hAnsi="Times New Roman" w:cs="Times New Roman"/>
          <w:bCs/>
          <w:sz w:val="20"/>
          <w:szCs w:val="20"/>
        </w:rPr>
        <w:t xml:space="preserve">Reframing </w:t>
      </w:r>
      <w:r w:rsidRPr="000A5468">
        <w:rPr>
          <w:rFonts w:ascii="Times New Roman" w:eastAsia="Times New Roman" w:hAnsi="Times New Roman" w:cs="Times New Roman"/>
          <w:bCs/>
          <w:sz w:val="20"/>
          <w:szCs w:val="20"/>
        </w:rPr>
        <w:t>i</w:t>
      </w:r>
      <w:r w:rsidR="00721C2D" w:rsidRPr="000A5468">
        <w:rPr>
          <w:rFonts w:ascii="Times New Roman" w:eastAsia="Times New Roman" w:hAnsi="Times New Roman" w:cs="Times New Roman"/>
          <w:bCs/>
          <w:sz w:val="20"/>
          <w:szCs w:val="20"/>
        </w:rPr>
        <w:t xml:space="preserve">ncentives and </w:t>
      </w:r>
      <w:r w:rsidRPr="000A5468">
        <w:rPr>
          <w:rFonts w:ascii="Times New Roman" w:eastAsia="Times New Roman" w:hAnsi="Times New Roman" w:cs="Times New Roman"/>
          <w:bCs/>
          <w:sz w:val="20"/>
          <w:szCs w:val="20"/>
        </w:rPr>
        <w:t>r</w:t>
      </w:r>
      <w:r w:rsidR="00721C2D" w:rsidRPr="000A5468">
        <w:rPr>
          <w:rFonts w:ascii="Times New Roman" w:eastAsia="Times New Roman" w:hAnsi="Times New Roman" w:cs="Times New Roman"/>
          <w:bCs/>
          <w:sz w:val="20"/>
          <w:szCs w:val="20"/>
        </w:rPr>
        <w:t xml:space="preserve">ewards for </w:t>
      </w:r>
      <w:r w:rsidRPr="000A5468">
        <w:rPr>
          <w:rFonts w:ascii="Times New Roman" w:eastAsia="Times New Roman" w:hAnsi="Times New Roman" w:cs="Times New Roman"/>
          <w:bCs/>
          <w:sz w:val="20"/>
          <w:szCs w:val="20"/>
        </w:rPr>
        <w:t>c</w:t>
      </w:r>
      <w:r w:rsidR="00721C2D" w:rsidRPr="000A5468">
        <w:rPr>
          <w:rFonts w:ascii="Times New Roman" w:eastAsia="Times New Roman" w:hAnsi="Times New Roman" w:cs="Times New Roman"/>
          <w:bCs/>
          <w:sz w:val="20"/>
          <w:szCs w:val="20"/>
        </w:rPr>
        <w:t xml:space="preserve">ommunity </w:t>
      </w:r>
      <w:r w:rsidRPr="000A5468">
        <w:rPr>
          <w:rFonts w:ascii="Times New Roman" w:eastAsia="Times New Roman" w:hAnsi="Times New Roman" w:cs="Times New Roman"/>
          <w:bCs/>
          <w:sz w:val="20"/>
          <w:szCs w:val="20"/>
        </w:rPr>
        <w:t>s</w:t>
      </w:r>
      <w:r w:rsidR="00721C2D" w:rsidRPr="000A5468">
        <w:rPr>
          <w:rFonts w:ascii="Times New Roman" w:eastAsia="Times New Roman" w:hAnsi="Times New Roman" w:cs="Times New Roman"/>
          <w:bCs/>
          <w:sz w:val="20"/>
          <w:szCs w:val="20"/>
        </w:rPr>
        <w:t>ervice-</w:t>
      </w:r>
      <w:r w:rsidRPr="000A5468">
        <w:rPr>
          <w:rFonts w:ascii="Times New Roman" w:eastAsia="Times New Roman" w:hAnsi="Times New Roman" w:cs="Times New Roman"/>
          <w:bCs/>
          <w:sz w:val="20"/>
          <w:szCs w:val="20"/>
        </w:rPr>
        <w:t>l</w:t>
      </w:r>
      <w:r w:rsidR="00721C2D" w:rsidRPr="000A5468">
        <w:rPr>
          <w:rFonts w:ascii="Times New Roman" w:eastAsia="Times New Roman" w:hAnsi="Times New Roman" w:cs="Times New Roman"/>
          <w:bCs/>
          <w:sz w:val="20"/>
          <w:szCs w:val="20"/>
        </w:rPr>
        <w:t xml:space="preserve">earning and </w:t>
      </w:r>
      <w:r w:rsidRPr="000A5468">
        <w:rPr>
          <w:rFonts w:ascii="Times New Roman" w:eastAsia="Times New Roman" w:hAnsi="Times New Roman" w:cs="Times New Roman"/>
          <w:bCs/>
          <w:sz w:val="20"/>
          <w:szCs w:val="20"/>
        </w:rPr>
        <w:t>a</w:t>
      </w:r>
      <w:r w:rsidR="00721C2D" w:rsidRPr="000A5468">
        <w:rPr>
          <w:rFonts w:ascii="Times New Roman" w:eastAsia="Times New Roman" w:hAnsi="Times New Roman" w:cs="Times New Roman"/>
          <w:bCs/>
          <w:sz w:val="20"/>
          <w:szCs w:val="20"/>
        </w:rPr>
        <w:t xml:space="preserve">cademic </w:t>
      </w:r>
      <w:r w:rsidRPr="000A5468">
        <w:rPr>
          <w:rFonts w:ascii="Times New Roman" w:eastAsia="Times New Roman" w:hAnsi="Times New Roman" w:cs="Times New Roman"/>
          <w:bCs/>
          <w:sz w:val="20"/>
          <w:szCs w:val="20"/>
        </w:rPr>
        <w:t>o</w:t>
      </w:r>
      <w:r w:rsidR="00721C2D" w:rsidRPr="000A5468">
        <w:rPr>
          <w:rFonts w:ascii="Times New Roman" w:eastAsia="Times New Roman" w:hAnsi="Times New Roman" w:cs="Times New Roman"/>
          <w:bCs/>
          <w:sz w:val="20"/>
          <w:szCs w:val="20"/>
        </w:rPr>
        <w:t>utreach</w:t>
      </w:r>
      <w:r w:rsidRPr="000A5468">
        <w:rPr>
          <w:rFonts w:ascii="Times New Roman" w:eastAsia="Times New Roman" w:hAnsi="Times New Roman" w:cs="Times New Roman"/>
          <w:bCs/>
          <w:sz w:val="20"/>
          <w:szCs w:val="20"/>
        </w:rPr>
        <w:t xml:space="preserve">. </w:t>
      </w:r>
      <w:r w:rsidR="00721C2D" w:rsidRPr="000A5468">
        <w:rPr>
          <w:rFonts w:ascii="Times New Roman" w:eastAsia="Times New Roman" w:hAnsi="Times New Roman" w:cs="Times New Roman"/>
          <w:bCs/>
          <w:i/>
          <w:sz w:val="20"/>
          <w:szCs w:val="20"/>
        </w:rPr>
        <w:t>Journal of Higher Education Outreach &amp; Engagement</w:t>
      </w:r>
      <w:r w:rsidR="002340EB" w:rsidRPr="000A5468">
        <w:rPr>
          <w:rFonts w:ascii="Times New Roman" w:eastAsia="Times New Roman" w:hAnsi="Times New Roman" w:cs="Times New Roman"/>
          <w:bCs/>
          <w:i/>
          <w:sz w:val="20"/>
          <w:szCs w:val="20"/>
        </w:rPr>
        <w:t>, 82</w:t>
      </w:r>
      <w:r w:rsidRPr="000A5468">
        <w:rPr>
          <w:rFonts w:ascii="Times New Roman" w:eastAsia="Times New Roman" w:hAnsi="Times New Roman" w:cs="Times New Roman"/>
          <w:bCs/>
          <w:i/>
          <w:sz w:val="20"/>
          <w:szCs w:val="20"/>
        </w:rPr>
        <w:t>(2)</w:t>
      </w:r>
      <w:r w:rsidR="002340EB" w:rsidRPr="000A5468">
        <w:rPr>
          <w:rFonts w:ascii="Times New Roman" w:eastAsia="Times New Roman" w:hAnsi="Times New Roman" w:cs="Times New Roman"/>
          <w:bCs/>
          <w:i/>
          <w:sz w:val="20"/>
          <w:szCs w:val="20"/>
        </w:rPr>
        <w:t xml:space="preserve">, </w:t>
      </w:r>
      <w:r w:rsidR="002340EB" w:rsidRPr="000A5468">
        <w:rPr>
          <w:rFonts w:ascii="Times New Roman" w:eastAsia="Times New Roman" w:hAnsi="Times New Roman" w:cs="Times New Roman"/>
          <w:bCs/>
          <w:sz w:val="20"/>
          <w:szCs w:val="20"/>
        </w:rPr>
        <w:t>201-220</w:t>
      </w:r>
      <w:r w:rsidRPr="000A5468">
        <w:rPr>
          <w:rFonts w:ascii="Times New Roman" w:eastAsia="Times New Roman" w:hAnsi="Times New Roman" w:cs="Times New Roman"/>
          <w:bCs/>
          <w:sz w:val="20"/>
          <w:szCs w:val="20"/>
        </w:rPr>
        <w:t>.</w:t>
      </w:r>
    </w:p>
    <w:p w:rsidR="00FB2E58" w:rsidRPr="000A5468" w:rsidRDefault="00FB2E58" w:rsidP="00721C2D">
      <w:pPr>
        <w:spacing w:after="0" w:line="240" w:lineRule="auto"/>
        <w:rPr>
          <w:rFonts w:ascii="Times New Roman" w:hAnsi="Times New Roman" w:cs="Times New Roman"/>
          <w:sz w:val="20"/>
          <w:szCs w:val="20"/>
        </w:rPr>
      </w:pPr>
      <w:bookmarkStart w:id="1" w:name="citation"/>
    </w:p>
    <w:p w:rsidR="00721C2D" w:rsidRPr="000A5468" w:rsidRDefault="00E6312F" w:rsidP="00721C2D">
      <w:pPr>
        <w:spacing w:after="0" w:line="240" w:lineRule="auto"/>
        <w:rPr>
          <w:rFonts w:ascii="Times New Roman" w:eastAsia="Times New Roman" w:hAnsi="Times New Roman" w:cs="Times New Roman"/>
          <w:sz w:val="20"/>
          <w:szCs w:val="20"/>
        </w:rPr>
      </w:pPr>
      <w:r w:rsidRPr="000A5468">
        <w:rPr>
          <w:rFonts w:ascii="Times New Roman" w:hAnsi="Times New Roman" w:cs="Times New Roman"/>
          <w:sz w:val="20"/>
          <w:szCs w:val="20"/>
        </w:rPr>
        <w:t>O’</w:t>
      </w:r>
      <w:r w:rsidR="00FB2E58" w:rsidRPr="000A5468">
        <w:rPr>
          <w:rFonts w:ascii="Times New Roman" w:hAnsi="Times New Roman" w:cs="Times New Roman"/>
          <w:sz w:val="20"/>
          <w:szCs w:val="20"/>
        </w:rPr>
        <w:t xml:space="preserve">Meara, K. (2005). </w:t>
      </w:r>
      <w:r w:rsidR="00721C2D" w:rsidRPr="000A5468">
        <w:rPr>
          <w:rFonts w:ascii="Times New Roman" w:hAnsi="Times New Roman" w:cs="Times New Roman"/>
          <w:sz w:val="20"/>
          <w:szCs w:val="20"/>
        </w:rPr>
        <w:t xml:space="preserve">Encouraging multiple forms of scholarship in faculty reward systems: Does </w:t>
      </w:r>
      <w:r w:rsidR="006E50B0" w:rsidRPr="000A5468">
        <w:rPr>
          <w:rFonts w:ascii="Times New Roman" w:hAnsi="Times New Roman" w:cs="Times New Roman"/>
          <w:sz w:val="20"/>
          <w:szCs w:val="20"/>
        </w:rPr>
        <w:t>i</w:t>
      </w:r>
      <w:r w:rsidR="00721C2D" w:rsidRPr="000A5468">
        <w:rPr>
          <w:rFonts w:ascii="Times New Roman" w:hAnsi="Times New Roman" w:cs="Times New Roman"/>
          <w:sz w:val="20"/>
          <w:szCs w:val="20"/>
        </w:rPr>
        <w:t xml:space="preserve">t </w:t>
      </w:r>
      <w:r w:rsidR="006E50B0" w:rsidRPr="000A5468">
        <w:rPr>
          <w:rFonts w:ascii="Times New Roman" w:hAnsi="Times New Roman" w:cs="Times New Roman"/>
          <w:sz w:val="20"/>
          <w:szCs w:val="20"/>
        </w:rPr>
        <w:t>m</w:t>
      </w:r>
      <w:r w:rsidR="00721C2D" w:rsidRPr="000A5468">
        <w:rPr>
          <w:rFonts w:ascii="Times New Roman" w:hAnsi="Times New Roman" w:cs="Times New Roman"/>
          <w:sz w:val="20"/>
          <w:szCs w:val="20"/>
        </w:rPr>
        <w:t xml:space="preserve">ake a </w:t>
      </w:r>
      <w:r w:rsidR="006E50B0" w:rsidRPr="000A5468">
        <w:rPr>
          <w:rFonts w:ascii="Times New Roman" w:hAnsi="Times New Roman" w:cs="Times New Roman"/>
          <w:sz w:val="20"/>
          <w:szCs w:val="20"/>
        </w:rPr>
        <w:t>d</w:t>
      </w:r>
      <w:r w:rsidR="00721C2D" w:rsidRPr="000A5468">
        <w:rPr>
          <w:rFonts w:ascii="Times New Roman" w:hAnsi="Times New Roman" w:cs="Times New Roman"/>
          <w:sz w:val="20"/>
          <w:szCs w:val="20"/>
        </w:rPr>
        <w:t xml:space="preserve">ifference? </w:t>
      </w:r>
      <w:bookmarkEnd w:id="1"/>
      <w:r w:rsidR="00FB2E58" w:rsidRPr="000A5468">
        <w:rPr>
          <w:rFonts w:ascii="Times New Roman" w:hAnsi="Times New Roman" w:cs="Times New Roman"/>
          <w:i/>
          <w:sz w:val="20"/>
          <w:szCs w:val="20"/>
        </w:rPr>
        <w:t>Research in Higher Education, 46</w:t>
      </w:r>
      <w:r w:rsidR="00FB2E58" w:rsidRPr="000A5468">
        <w:rPr>
          <w:rFonts w:ascii="Times New Roman" w:hAnsi="Times New Roman" w:cs="Times New Roman"/>
          <w:sz w:val="20"/>
          <w:szCs w:val="20"/>
        </w:rPr>
        <w:t xml:space="preserve"> (5), 479-510. </w:t>
      </w:r>
      <w:r w:rsidR="00B12F22" w:rsidRPr="000A5468">
        <w:rPr>
          <w:rFonts w:ascii="Times New Roman" w:hAnsi="Times New Roman" w:cs="Times New Roman"/>
          <w:sz w:val="20"/>
          <w:szCs w:val="20"/>
        </w:rPr>
        <w:br/>
      </w:r>
      <w:r w:rsidR="00B12F22" w:rsidRPr="000A5468">
        <w:rPr>
          <w:rFonts w:ascii="Times New Roman" w:hAnsi="Times New Roman" w:cs="Times New Roman"/>
          <w:sz w:val="20"/>
          <w:szCs w:val="20"/>
        </w:rPr>
        <w:br/>
        <w:t xml:space="preserve">O’Meara, K. (2012). </w:t>
      </w:r>
      <w:r w:rsidR="00B12F22" w:rsidRPr="000A5468">
        <w:rPr>
          <w:rFonts w:ascii="Times New Roman" w:hAnsi="Times New Roman" w:cs="Times New Roman"/>
          <w:i/>
          <w:sz w:val="20"/>
          <w:szCs w:val="20"/>
        </w:rPr>
        <w:t>Because I can: Exploring faculty civic agency</w:t>
      </w:r>
      <w:r w:rsidR="00B12F22" w:rsidRPr="000A5468">
        <w:rPr>
          <w:rFonts w:ascii="Times New Roman" w:hAnsi="Times New Roman" w:cs="Times New Roman"/>
          <w:sz w:val="20"/>
          <w:szCs w:val="20"/>
        </w:rPr>
        <w:t>. Kettering Foundation Working Paper 2012-1.</w:t>
      </w:r>
    </w:p>
    <w:p w:rsidR="00741863" w:rsidRPr="000A5468" w:rsidRDefault="00FB2E58" w:rsidP="00741863">
      <w:pPr>
        <w:spacing w:after="0" w:line="240" w:lineRule="auto"/>
        <w:rPr>
          <w:rFonts w:ascii="Times New Roman" w:eastAsia="Times New Roman" w:hAnsi="Times New Roman" w:cs="Times New Roman"/>
          <w:sz w:val="20"/>
          <w:szCs w:val="20"/>
        </w:rPr>
      </w:pPr>
      <w:r w:rsidRPr="000A5468">
        <w:rPr>
          <w:rFonts w:ascii="Times New Roman" w:eastAsia="Times New Roman" w:hAnsi="Times New Roman" w:cs="Times New Roman"/>
          <w:sz w:val="20"/>
          <w:szCs w:val="20"/>
        </w:rPr>
        <w:br/>
      </w:r>
      <w:r w:rsidR="003969E6" w:rsidRPr="000A5468">
        <w:rPr>
          <w:rFonts w:ascii="Times New Roman" w:hAnsi="Times New Roman" w:cs="Times New Roman"/>
          <w:color w:val="000000"/>
          <w:sz w:val="20"/>
          <w:szCs w:val="20"/>
        </w:rPr>
        <w:t xml:space="preserve">O’Meara, K., and Rice, R.E. (2005). </w:t>
      </w:r>
      <w:r w:rsidR="003969E6" w:rsidRPr="000A5468">
        <w:rPr>
          <w:rFonts w:ascii="Times New Roman" w:hAnsi="Times New Roman" w:cs="Times New Roman"/>
          <w:i/>
          <w:iCs/>
          <w:color w:val="000000"/>
          <w:sz w:val="20"/>
          <w:szCs w:val="20"/>
        </w:rPr>
        <w:t xml:space="preserve">Faculty </w:t>
      </w:r>
      <w:r w:rsidR="006E50B0" w:rsidRPr="000A5468">
        <w:rPr>
          <w:rFonts w:ascii="Times New Roman" w:hAnsi="Times New Roman" w:cs="Times New Roman"/>
          <w:i/>
          <w:iCs/>
          <w:color w:val="000000"/>
          <w:sz w:val="20"/>
          <w:szCs w:val="20"/>
        </w:rPr>
        <w:t>p</w:t>
      </w:r>
      <w:r w:rsidR="003969E6" w:rsidRPr="000A5468">
        <w:rPr>
          <w:rFonts w:ascii="Times New Roman" w:hAnsi="Times New Roman" w:cs="Times New Roman"/>
          <w:i/>
          <w:iCs/>
          <w:color w:val="000000"/>
          <w:sz w:val="20"/>
          <w:szCs w:val="20"/>
        </w:rPr>
        <w:t xml:space="preserve">riorities </w:t>
      </w:r>
      <w:r w:rsidR="006E50B0" w:rsidRPr="000A5468">
        <w:rPr>
          <w:rFonts w:ascii="Times New Roman" w:hAnsi="Times New Roman" w:cs="Times New Roman"/>
          <w:i/>
          <w:iCs/>
          <w:color w:val="000000"/>
          <w:sz w:val="20"/>
          <w:szCs w:val="20"/>
        </w:rPr>
        <w:t>r</w:t>
      </w:r>
      <w:r w:rsidR="003969E6" w:rsidRPr="000A5468">
        <w:rPr>
          <w:rFonts w:ascii="Times New Roman" w:hAnsi="Times New Roman" w:cs="Times New Roman"/>
          <w:i/>
          <w:iCs/>
          <w:color w:val="000000"/>
          <w:sz w:val="20"/>
          <w:szCs w:val="20"/>
        </w:rPr>
        <w:t xml:space="preserve">econsidered: Rewarding </w:t>
      </w:r>
      <w:r w:rsidR="006E50B0" w:rsidRPr="000A5468">
        <w:rPr>
          <w:rFonts w:ascii="Times New Roman" w:hAnsi="Times New Roman" w:cs="Times New Roman"/>
          <w:i/>
          <w:iCs/>
          <w:color w:val="000000"/>
          <w:sz w:val="20"/>
          <w:szCs w:val="20"/>
        </w:rPr>
        <w:t>m</w:t>
      </w:r>
      <w:r w:rsidR="003969E6" w:rsidRPr="000A5468">
        <w:rPr>
          <w:rFonts w:ascii="Times New Roman" w:hAnsi="Times New Roman" w:cs="Times New Roman"/>
          <w:i/>
          <w:iCs/>
          <w:color w:val="000000"/>
          <w:sz w:val="20"/>
          <w:szCs w:val="20"/>
        </w:rPr>
        <w:t xml:space="preserve">ultiple </w:t>
      </w:r>
      <w:r w:rsidR="006E50B0" w:rsidRPr="000A5468">
        <w:rPr>
          <w:rFonts w:ascii="Times New Roman" w:hAnsi="Times New Roman" w:cs="Times New Roman"/>
          <w:i/>
          <w:iCs/>
          <w:color w:val="000000"/>
          <w:sz w:val="20"/>
          <w:szCs w:val="20"/>
        </w:rPr>
        <w:t>f</w:t>
      </w:r>
      <w:r w:rsidR="003969E6" w:rsidRPr="000A5468">
        <w:rPr>
          <w:rFonts w:ascii="Times New Roman" w:hAnsi="Times New Roman" w:cs="Times New Roman"/>
          <w:i/>
          <w:iCs/>
          <w:color w:val="000000"/>
          <w:sz w:val="20"/>
          <w:szCs w:val="20"/>
        </w:rPr>
        <w:t xml:space="preserve">orms of </w:t>
      </w:r>
      <w:r w:rsidR="006E50B0" w:rsidRPr="000A5468">
        <w:rPr>
          <w:rFonts w:ascii="Times New Roman" w:hAnsi="Times New Roman" w:cs="Times New Roman"/>
          <w:i/>
          <w:iCs/>
          <w:color w:val="000000"/>
          <w:sz w:val="20"/>
          <w:szCs w:val="20"/>
        </w:rPr>
        <w:t>s</w:t>
      </w:r>
      <w:r w:rsidR="003969E6" w:rsidRPr="000A5468">
        <w:rPr>
          <w:rFonts w:ascii="Times New Roman" w:hAnsi="Times New Roman" w:cs="Times New Roman"/>
          <w:i/>
          <w:iCs/>
          <w:color w:val="000000"/>
          <w:sz w:val="20"/>
          <w:szCs w:val="20"/>
        </w:rPr>
        <w:t xml:space="preserve">cholarship. </w:t>
      </w:r>
      <w:r w:rsidR="003969E6" w:rsidRPr="000A5468">
        <w:rPr>
          <w:rFonts w:ascii="Times New Roman" w:hAnsi="Times New Roman" w:cs="Times New Roman"/>
          <w:color w:val="000000"/>
          <w:sz w:val="20"/>
          <w:szCs w:val="20"/>
        </w:rPr>
        <w:t>San Francisco: Jossey-Bass.</w:t>
      </w:r>
      <w:r w:rsidR="003969E6" w:rsidRPr="000A5468">
        <w:rPr>
          <w:rFonts w:ascii="Times New Roman" w:hAnsi="Times New Roman" w:cs="Times New Roman"/>
          <w:color w:val="000000"/>
          <w:sz w:val="20"/>
          <w:szCs w:val="20"/>
        </w:rPr>
        <w:br/>
      </w:r>
      <w:r w:rsidR="003969E6" w:rsidRPr="000A5468">
        <w:rPr>
          <w:rFonts w:ascii="Times New Roman" w:hAnsi="Times New Roman" w:cs="Times New Roman"/>
          <w:color w:val="000000"/>
          <w:sz w:val="20"/>
          <w:szCs w:val="20"/>
        </w:rPr>
        <w:br/>
      </w:r>
      <w:r w:rsidR="003969E6" w:rsidRPr="000A5468">
        <w:rPr>
          <w:rFonts w:ascii="Times New Roman" w:eastAsia="Times New Roman" w:hAnsi="Times New Roman" w:cs="Times New Roman"/>
          <w:sz w:val="20"/>
          <w:szCs w:val="20"/>
        </w:rPr>
        <w:t xml:space="preserve">O’Meara, K., Sandmann, L., Saltmarsh, J., Giles, D. (2011). Studying the professional lives and work of faculty involved in community engagement.  </w:t>
      </w:r>
      <w:r w:rsidR="003969E6" w:rsidRPr="000A5468">
        <w:rPr>
          <w:rFonts w:ascii="Times New Roman" w:eastAsia="Times New Roman" w:hAnsi="Times New Roman" w:cs="Times New Roman"/>
          <w:i/>
          <w:sz w:val="20"/>
          <w:szCs w:val="20"/>
        </w:rPr>
        <w:t>Innovative Higher Education, 36</w:t>
      </w:r>
      <w:r w:rsidR="003969E6" w:rsidRPr="000A5468">
        <w:rPr>
          <w:rFonts w:ascii="Times New Roman" w:eastAsia="Times New Roman" w:hAnsi="Times New Roman" w:cs="Times New Roman"/>
          <w:sz w:val="20"/>
          <w:szCs w:val="20"/>
        </w:rPr>
        <w:t xml:space="preserve">, 2, 83-96. </w:t>
      </w:r>
      <w:r w:rsidR="003969E6" w:rsidRPr="000A5468">
        <w:rPr>
          <w:rFonts w:ascii="Times New Roman" w:eastAsia="Times New Roman" w:hAnsi="Times New Roman" w:cs="Times New Roman"/>
          <w:sz w:val="20"/>
          <w:szCs w:val="20"/>
        </w:rPr>
        <w:br/>
      </w:r>
      <w:r w:rsidR="003969E6" w:rsidRPr="000A5468">
        <w:rPr>
          <w:rFonts w:ascii="Times New Roman" w:eastAsia="Times New Roman" w:hAnsi="Times New Roman" w:cs="Times New Roman"/>
          <w:sz w:val="20"/>
          <w:szCs w:val="20"/>
        </w:rPr>
        <w:br/>
      </w:r>
      <w:r w:rsidR="00741863" w:rsidRPr="000A5468">
        <w:rPr>
          <w:rFonts w:ascii="Times New Roman" w:eastAsia="Times New Roman" w:hAnsi="Times New Roman" w:cs="Times New Roman"/>
          <w:sz w:val="20"/>
          <w:szCs w:val="20"/>
        </w:rPr>
        <w:t xml:space="preserve">Park, S. (1996). Research, teaching, and service: why shouldn't women's work count? </w:t>
      </w:r>
      <w:r w:rsidR="00741863" w:rsidRPr="000A5468">
        <w:rPr>
          <w:rFonts w:ascii="Times New Roman" w:eastAsia="Times New Roman" w:hAnsi="Times New Roman" w:cs="Times New Roman"/>
          <w:i/>
          <w:sz w:val="20"/>
          <w:szCs w:val="20"/>
        </w:rPr>
        <w:t>Journal of Higher Education, 67</w:t>
      </w:r>
      <w:r w:rsidR="00741863" w:rsidRPr="000A5468">
        <w:rPr>
          <w:rFonts w:ascii="Times New Roman" w:eastAsia="Times New Roman" w:hAnsi="Times New Roman" w:cs="Times New Roman"/>
          <w:sz w:val="20"/>
          <w:szCs w:val="20"/>
        </w:rPr>
        <w:t xml:space="preserve"> (1), 46.</w:t>
      </w:r>
    </w:p>
    <w:p w:rsidR="00741863" w:rsidRPr="000A5468" w:rsidRDefault="00741863" w:rsidP="00420AC2">
      <w:pPr>
        <w:spacing w:after="0" w:line="240" w:lineRule="auto"/>
        <w:rPr>
          <w:rFonts w:eastAsia="Times New Roman" w:cstheme="minorHAnsi"/>
          <w:sz w:val="20"/>
          <w:szCs w:val="20"/>
        </w:rPr>
      </w:pPr>
      <w:r w:rsidRPr="000A5468">
        <w:rPr>
          <w:rFonts w:ascii="Times New Roman" w:eastAsia="Times New Roman" w:hAnsi="Times New Roman" w:cs="Times New Roman"/>
          <w:sz w:val="20"/>
          <w:szCs w:val="20"/>
        </w:rPr>
        <w:br/>
      </w:r>
      <w:r w:rsidRPr="000A5468">
        <w:rPr>
          <w:rFonts w:cstheme="minorHAnsi"/>
          <w:color w:val="131313"/>
          <w:sz w:val="20"/>
          <w:szCs w:val="20"/>
        </w:rPr>
        <w:t xml:space="preserve">Saltmarsh, J., Giles, D. E., Jr., O’Meara, K., Sandmann, L.,Ward, E.,&amp; Buglione, S.M. (2009). The institutional home for faculty engagement: An investigation of reward policies at engaged campuses. In S. Billig, B. Holland, &amp; B. Moely (Eds.), </w:t>
      </w:r>
      <w:r w:rsidRPr="000A5468">
        <w:rPr>
          <w:rFonts w:cstheme="minorHAnsi"/>
          <w:i/>
          <w:color w:val="131313"/>
          <w:sz w:val="20"/>
          <w:szCs w:val="20"/>
        </w:rPr>
        <w:t>Creating our identities in service-learning and community engagement. Advances in service-learning research</w:t>
      </w:r>
      <w:r w:rsidRPr="000A5468">
        <w:rPr>
          <w:rFonts w:cstheme="minorHAnsi"/>
          <w:color w:val="131313"/>
          <w:sz w:val="20"/>
          <w:szCs w:val="20"/>
        </w:rPr>
        <w:t xml:space="preserve"> (pp. 3–30). Greenwich, CT: Information Age Publishing.</w:t>
      </w:r>
      <w:r w:rsidRPr="000A5468">
        <w:rPr>
          <w:rFonts w:cstheme="minorHAnsi"/>
          <w:color w:val="131313"/>
          <w:sz w:val="20"/>
          <w:szCs w:val="20"/>
        </w:rPr>
        <w:br/>
      </w:r>
    </w:p>
    <w:p w:rsidR="00721C2D" w:rsidRPr="000A5468" w:rsidRDefault="00020949" w:rsidP="00191024">
      <w:pPr>
        <w:spacing w:after="0" w:line="240" w:lineRule="auto"/>
        <w:rPr>
          <w:rFonts w:ascii="Times New Roman" w:eastAsia="Times New Roman" w:hAnsi="Times New Roman" w:cs="Times New Roman"/>
          <w:sz w:val="20"/>
          <w:szCs w:val="20"/>
        </w:rPr>
      </w:pPr>
      <w:r w:rsidRPr="000A5468">
        <w:rPr>
          <w:rFonts w:ascii="Times New Roman" w:eastAsia="Times New Roman" w:hAnsi="Times New Roman" w:cs="Times New Roman"/>
          <w:sz w:val="20"/>
          <w:szCs w:val="20"/>
        </w:rPr>
        <w:t xml:space="preserve">Saltmarsh, J., Giles, D., Ward, E., Buglione, S. (2009). </w:t>
      </w:r>
      <w:r w:rsidR="00721C2D" w:rsidRPr="000A5468">
        <w:rPr>
          <w:rFonts w:ascii="Times New Roman" w:eastAsia="Times New Roman" w:hAnsi="Times New Roman" w:cs="Times New Roman"/>
          <w:sz w:val="20"/>
          <w:szCs w:val="20"/>
        </w:rPr>
        <w:t>Rewarding</w:t>
      </w:r>
      <w:r w:rsidRPr="000A5468">
        <w:rPr>
          <w:rFonts w:ascii="Times New Roman" w:eastAsia="Times New Roman" w:hAnsi="Times New Roman" w:cs="Times New Roman"/>
          <w:sz w:val="20"/>
          <w:szCs w:val="20"/>
        </w:rPr>
        <w:t xml:space="preserve"> community-engaged scholarship. </w:t>
      </w:r>
      <w:r w:rsidRPr="000A5468">
        <w:rPr>
          <w:rFonts w:ascii="Times New Roman" w:eastAsia="Times New Roman" w:hAnsi="Times New Roman" w:cs="Times New Roman"/>
          <w:i/>
          <w:sz w:val="20"/>
          <w:szCs w:val="20"/>
        </w:rPr>
        <w:t>New Directions for Higher Education, 147</w:t>
      </w:r>
      <w:r w:rsidRPr="000A5468">
        <w:rPr>
          <w:rFonts w:ascii="Times New Roman" w:eastAsia="Times New Roman" w:hAnsi="Times New Roman" w:cs="Times New Roman"/>
          <w:sz w:val="20"/>
          <w:szCs w:val="20"/>
        </w:rPr>
        <w:t xml:space="preserve">, 25-35. </w:t>
      </w:r>
    </w:p>
    <w:p w:rsidR="0022640B" w:rsidRPr="000A5468" w:rsidRDefault="0022640B" w:rsidP="004E15BB">
      <w:pPr>
        <w:pStyle w:val="NormalWeb"/>
        <w:rPr>
          <w:color w:val="000000"/>
          <w:sz w:val="20"/>
          <w:szCs w:val="20"/>
        </w:rPr>
      </w:pPr>
      <w:r w:rsidRPr="000A5468">
        <w:rPr>
          <w:color w:val="000000"/>
          <w:sz w:val="20"/>
          <w:szCs w:val="20"/>
        </w:rPr>
        <w:t xml:space="preserve">Schon, D. (1995, November). The new scholarship requires a new epistemology. </w:t>
      </w:r>
      <w:r w:rsidRPr="000A5468">
        <w:rPr>
          <w:i/>
          <w:color w:val="000000"/>
          <w:sz w:val="20"/>
          <w:szCs w:val="20"/>
        </w:rPr>
        <w:t>Change</w:t>
      </w:r>
      <w:r w:rsidRPr="000A5468">
        <w:rPr>
          <w:color w:val="000000"/>
          <w:sz w:val="20"/>
          <w:szCs w:val="20"/>
        </w:rPr>
        <w:t>, 27 (6), 26-34.</w:t>
      </w:r>
    </w:p>
    <w:p w:rsidR="004E15BB" w:rsidRPr="000A5468" w:rsidRDefault="00741863" w:rsidP="004E15BB">
      <w:pPr>
        <w:pStyle w:val="NormalWeb"/>
        <w:rPr>
          <w:sz w:val="20"/>
          <w:szCs w:val="20"/>
        </w:rPr>
      </w:pPr>
      <w:r w:rsidRPr="000A5468">
        <w:rPr>
          <w:color w:val="000000"/>
          <w:sz w:val="20"/>
          <w:szCs w:val="20"/>
        </w:rPr>
        <w:t xml:space="preserve">Stanton, T. K. (2007). </w:t>
      </w:r>
      <w:r w:rsidRPr="000A5468">
        <w:rPr>
          <w:i/>
          <w:iCs/>
          <w:color w:val="000000"/>
          <w:sz w:val="20"/>
          <w:szCs w:val="20"/>
        </w:rPr>
        <w:t xml:space="preserve">New Times Demand New Scholarship: Research Universities and Civic Engagement–Opportunities and Challenges. </w:t>
      </w:r>
      <w:r w:rsidRPr="000A5468">
        <w:rPr>
          <w:color w:val="000000"/>
          <w:sz w:val="20"/>
          <w:szCs w:val="20"/>
        </w:rPr>
        <w:t>Los Angeles, CA: Campus Compact, 2007.</w:t>
      </w:r>
      <w:r w:rsidR="004E15BB" w:rsidRPr="000A5468">
        <w:rPr>
          <w:color w:val="000000"/>
          <w:sz w:val="20"/>
          <w:szCs w:val="20"/>
        </w:rPr>
        <w:t xml:space="preserve"> Retrieved from </w:t>
      </w:r>
      <w:hyperlink r:id="rId16" w:history="1">
        <w:r w:rsidR="004E15BB" w:rsidRPr="000A5468">
          <w:rPr>
            <w:rStyle w:val="Hyperlink"/>
            <w:sz w:val="20"/>
            <w:szCs w:val="20"/>
          </w:rPr>
          <w:t>http://www.compact.org/wp-content/uploads/initiatives/research_universities/conference_report.pdf</w:t>
        </w:r>
      </w:hyperlink>
      <w:r w:rsidR="004E15BB" w:rsidRPr="000A5468">
        <w:rPr>
          <w:color w:val="000000"/>
          <w:sz w:val="20"/>
          <w:szCs w:val="20"/>
        </w:rPr>
        <w:br/>
      </w:r>
      <w:r w:rsidR="004E15BB" w:rsidRPr="000A5468">
        <w:rPr>
          <w:color w:val="000000"/>
          <w:sz w:val="20"/>
          <w:szCs w:val="20"/>
        </w:rPr>
        <w:br/>
      </w:r>
      <w:r w:rsidR="00A01053" w:rsidRPr="000A5468">
        <w:rPr>
          <w:sz w:val="20"/>
          <w:szCs w:val="20"/>
        </w:rPr>
        <w:t xml:space="preserve">Ward, K. (2003). </w:t>
      </w:r>
      <w:r w:rsidR="00A01053" w:rsidRPr="000A5468">
        <w:rPr>
          <w:i/>
          <w:sz w:val="20"/>
          <w:szCs w:val="20"/>
        </w:rPr>
        <w:t>Faculty Service Roles and the Scholarship of Engagement</w:t>
      </w:r>
      <w:r w:rsidR="00A01053" w:rsidRPr="000A5468">
        <w:rPr>
          <w:sz w:val="20"/>
          <w:szCs w:val="20"/>
        </w:rPr>
        <w:t>. Hoboken, NJ: Jossey-Bass.</w:t>
      </w:r>
    </w:p>
    <w:p w:rsidR="004D529D" w:rsidRPr="000A5468" w:rsidRDefault="004D529D" w:rsidP="004D529D">
      <w:pPr>
        <w:autoSpaceDE w:val="0"/>
        <w:autoSpaceDN w:val="0"/>
        <w:adjustRightInd w:val="0"/>
        <w:spacing w:after="0" w:line="240" w:lineRule="auto"/>
        <w:rPr>
          <w:rFonts w:ascii="Times New Roman" w:hAnsi="Times New Roman" w:cs="Times New Roman"/>
          <w:sz w:val="20"/>
          <w:szCs w:val="20"/>
        </w:rPr>
      </w:pPr>
      <w:r w:rsidRPr="000A5468">
        <w:rPr>
          <w:rFonts w:ascii="Times New Roman" w:hAnsi="Times New Roman" w:cs="Times New Roman"/>
          <w:sz w:val="20"/>
          <w:szCs w:val="20"/>
        </w:rPr>
        <w:t>Ward, K. “Rethinking Faculty Roles and Rewards for the Public Good.” In A. J. Kezar</w:t>
      </w:r>
    </w:p>
    <w:p w:rsidR="004D529D" w:rsidRPr="000A5468" w:rsidRDefault="004D529D" w:rsidP="004D529D">
      <w:pPr>
        <w:autoSpaceDE w:val="0"/>
        <w:autoSpaceDN w:val="0"/>
        <w:adjustRightInd w:val="0"/>
        <w:spacing w:after="0" w:line="240" w:lineRule="auto"/>
        <w:rPr>
          <w:rFonts w:ascii="Times New Roman" w:hAnsi="Times New Roman" w:cs="Times New Roman"/>
          <w:i/>
          <w:iCs/>
          <w:sz w:val="20"/>
          <w:szCs w:val="20"/>
        </w:rPr>
      </w:pPr>
      <w:r w:rsidRPr="000A5468">
        <w:rPr>
          <w:rFonts w:ascii="Times New Roman" w:hAnsi="Times New Roman" w:cs="Times New Roman"/>
          <w:sz w:val="20"/>
          <w:szCs w:val="20"/>
        </w:rPr>
        <w:t xml:space="preserve">and Associates (eds.), </w:t>
      </w:r>
      <w:r w:rsidRPr="000A5468">
        <w:rPr>
          <w:rFonts w:ascii="Times New Roman" w:hAnsi="Times New Roman" w:cs="Times New Roman"/>
          <w:i/>
          <w:iCs/>
          <w:sz w:val="20"/>
          <w:szCs w:val="20"/>
        </w:rPr>
        <w:t>Higher Education and the Public Good: Emerging Voices from a</w:t>
      </w:r>
    </w:p>
    <w:p w:rsidR="004D529D" w:rsidRPr="000A5468" w:rsidRDefault="004D529D" w:rsidP="004D529D">
      <w:pPr>
        <w:pStyle w:val="Pa39"/>
        <w:spacing w:after="160"/>
        <w:rPr>
          <w:rFonts w:ascii="Times New Roman" w:hAnsi="Times New Roman" w:cs="Times New Roman"/>
          <w:sz w:val="20"/>
          <w:szCs w:val="20"/>
        </w:rPr>
      </w:pPr>
      <w:r w:rsidRPr="000A5468">
        <w:rPr>
          <w:rFonts w:ascii="Times New Roman" w:hAnsi="Times New Roman" w:cs="Times New Roman"/>
          <w:i/>
          <w:iCs/>
          <w:sz w:val="20"/>
          <w:szCs w:val="20"/>
        </w:rPr>
        <w:t xml:space="preserve">National Movement. </w:t>
      </w:r>
      <w:r w:rsidRPr="000A5468">
        <w:rPr>
          <w:rFonts w:ascii="Times New Roman" w:hAnsi="Times New Roman" w:cs="Times New Roman"/>
          <w:sz w:val="20"/>
          <w:szCs w:val="20"/>
        </w:rPr>
        <w:t>San Francisco: Jossey-Bass, 2005.</w:t>
      </w:r>
    </w:p>
    <w:p w:rsidR="0022640B" w:rsidRPr="000A5468" w:rsidRDefault="0022640B" w:rsidP="0022640B">
      <w:pPr>
        <w:autoSpaceDE w:val="0"/>
        <w:autoSpaceDN w:val="0"/>
        <w:adjustRightInd w:val="0"/>
        <w:spacing w:after="0" w:line="240" w:lineRule="auto"/>
        <w:rPr>
          <w:rFonts w:cstheme="minorHAnsi"/>
          <w:sz w:val="20"/>
          <w:szCs w:val="20"/>
        </w:rPr>
      </w:pPr>
      <w:r w:rsidRPr="000A5468">
        <w:rPr>
          <w:rFonts w:cstheme="minorHAnsi"/>
          <w:sz w:val="20"/>
          <w:szCs w:val="20"/>
        </w:rPr>
        <w:t>Wenger L, Hawkins L, Seifer SD. (Editors). (2011). Community-Engaged Scholarship: Critical Junctures</w:t>
      </w:r>
    </w:p>
    <w:p w:rsidR="0022640B" w:rsidRPr="000A5468" w:rsidRDefault="0022640B" w:rsidP="0022640B">
      <w:pPr>
        <w:autoSpaceDE w:val="0"/>
        <w:autoSpaceDN w:val="0"/>
        <w:adjustRightInd w:val="0"/>
        <w:spacing w:after="0" w:line="240" w:lineRule="auto"/>
        <w:rPr>
          <w:rFonts w:cstheme="minorHAnsi"/>
          <w:sz w:val="20"/>
          <w:szCs w:val="20"/>
        </w:rPr>
      </w:pPr>
      <w:r w:rsidRPr="000A5468">
        <w:rPr>
          <w:rFonts w:cstheme="minorHAnsi"/>
          <w:sz w:val="20"/>
          <w:szCs w:val="20"/>
        </w:rPr>
        <w:t>in Research, Practice and Policy: Conference Report. Community-Campus Partnerships for Health</w:t>
      </w:r>
    </w:p>
    <w:p w:rsidR="0022640B" w:rsidRPr="000A5468" w:rsidRDefault="0022640B" w:rsidP="0022640B">
      <w:pPr>
        <w:pStyle w:val="Default"/>
        <w:rPr>
          <w:rFonts w:asciiTheme="minorHAnsi" w:hAnsiTheme="minorHAnsi" w:cstheme="minorHAnsi"/>
          <w:sz w:val="20"/>
          <w:szCs w:val="20"/>
        </w:rPr>
      </w:pPr>
      <w:r w:rsidRPr="000A5468">
        <w:rPr>
          <w:rFonts w:asciiTheme="minorHAnsi" w:hAnsiTheme="minorHAnsi" w:cstheme="minorHAnsi"/>
          <w:sz w:val="20"/>
          <w:szCs w:val="20"/>
        </w:rPr>
        <w:t xml:space="preserve">&amp; the University of Guelph. </w:t>
      </w:r>
      <w:hyperlink r:id="rId17" w:history="1">
        <w:r w:rsidRPr="000A5468">
          <w:rPr>
            <w:rStyle w:val="Hyperlink"/>
            <w:rFonts w:asciiTheme="minorHAnsi" w:hAnsiTheme="minorHAnsi" w:cstheme="minorHAnsi"/>
            <w:sz w:val="20"/>
            <w:szCs w:val="20"/>
          </w:rPr>
          <w:t>http://criticaljunctures.ca</w:t>
        </w:r>
      </w:hyperlink>
    </w:p>
    <w:p w:rsidR="00EA64AF" w:rsidRPr="000A5468" w:rsidRDefault="00527585" w:rsidP="007E3A34">
      <w:pPr>
        <w:autoSpaceDE w:val="0"/>
        <w:autoSpaceDN w:val="0"/>
        <w:adjustRightInd w:val="0"/>
        <w:spacing w:after="0" w:line="240" w:lineRule="auto"/>
        <w:rPr>
          <w:rFonts w:cstheme="minorHAnsi"/>
          <w:bCs/>
          <w:i/>
          <w:sz w:val="20"/>
          <w:szCs w:val="20"/>
        </w:rPr>
      </w:pPr>
      <w:r w:rsidRPr="000A5468">
        <w:rPr>
          <w:rFonts w:ascii="Times New Roman" w:hAnsi="Times New Roman" w:cs="Times New Roman"/>
          <w:color w:val="000000"/>
          <w:sz w:val="20"/>
          <w:szCs w:val="20"/>
        </w:rPr>
        <w:br/>
      </w:r>
      <w:r w:rsidR="007E3A34" w:rsidRPr="00850C0C">
        <w:rPr>
          <w:rFonts w:ascii="Times New Roman" w:hAnsi="Times New Roman" w:cs="Times New Roman"/>
          <w:b/>
          <w:color w:val="000000"/>
          <w:sz w:val="20"/>
          <w:szCs w:val="20"/>
          <w:u w:val="single"/>
        </w:rPr>
        <w:t xml:space="preserve">Campus </w:t>
      </w:r>
      <w:r w:rsidR="00850C0C" w:rsidRPr="00850C0C">
        <w:rPr>
          <w:rFonts w:ascii="Times New Roman" w:hAnsi="Times New Roman" w:cs="Times New Roman"/>
          <w:b/>
          <w:color w:val="000000"/>
          <w:sz w:val="20"/>
          <w:szCs w:val="20"/>
          <w:u w:val="single"/>
        </w:rPr>
        <w:t>Models</w:t>
      </w:r>
      <w:r w:rsidR="007E3A34" w:rsidRPr="000A5468">
        <w:rPr>
          <w:rFonts w:ascii="Times New Roman" w:hAnsi="Times New Roman" w:cs="Times New Roman"/>
          <w:color w:val="000000"/>
          <w:sz w:val="20"/>
          <w:szCs w:val="20"/>
        </w:rPr>
        <w:br/>
      </w:r>
      <w:r w:rsidR="00EA64AF" w:rsidRPr="000A5468">
        <w:rPr>
          <w:rFonts w:cstheme="minorHAnsi"/>
          <w:bCs/>
          <w:i/>
          <w:sz w:val="20"/>
          <w:szCs w:val="20"/>
        </w:rPr>
        <w:t>California State University, Long Beach</w:t>
      </w:r>
    </w:p>
    <w:p w:rsidR="00EA64AF" w:rsidRPr="000A5468" w:rsidRDefault="00EA64AF" w:rsidP="007E3A34">
      <w:pPr>
        <w:autoSpaceDE w:val="0"/>
        <w:autoSpaceDN w:val="0"/>
        <w:adjustRightInd w:val="0"/>
        <w:spacing w:after="0" w:line="240" w:lineRule="auto"/>
        <w:rPr>
          <w:rFonts w:cstheme="minorHAnsi"/>
          <w:bCs/>
          <w:i/>
          <w:sz w:val="20"/>
          <w:szCs w:val="20"/>
        </w:rPr>
      </w:pPr>
      <w:r w:rsidRPr="000A5468">
        <w:rPr>
          <w:rFonts w:ascii="Times New Roman" w:hAnsi="Times New Roman" w:cs="Times New Roman"/>
          <w:color w:val="000000"/>
          <w:sz w:val="20"/>
          <w:szCs w:val="20"/>
        </w:rPr>
        <w:t xml:space="preserve">McKay, V. (2005). </w:t>
      </w:r>
      <w:r w:rsidRPr="000A5468">
        <w:rPr>
          <w:rFonts w:ascii="Times New Roman" w:hAnsi="Times New Roman" w:cs="Times New Roman"/>
          <w:i/>
          <w:iCs/>
          <w:color w:val="000000"/>
          <w:sz w:val="20"/>
          <w:szCs w:val="20"/>
        </w:rPr>
        <w:t xml:space="preserve">Community service learning center: Retention, tenure, &amp; promotion document. </w:t>
      </w:r>
      <w:r w:rsidRPr="000A5468">
        <w:rPr>
          <w:rFonts w:ascii="Times New Roman" w:hAnsi="Times New Roman" w:cs="Times New Roman"/>
          <w:color w:val="000000"/>
          <w:sz w:val="20"/>
          <w:szCs w:val="20"/>
        </w:rPr>
        <w:t>Long Beach, California: Community Service Learning Center, California State University Long Beach. Retrieved from</w:t>
      </w:r>
      <w:r w:rsidRPr="000A5468">
        <w:rPr>
          <w:sz w:val="20"/>
          <w:szCs w:val="20"/>
        </w:rPr>
        <w:t xml:space="preserve"> </w:t>
      </w:r>
      <w:r w:rsidRPr="000A5468">
        <w:rPr>
          <w:rFonts w:ascii="Times New Roman" w:hAnsi="Times New Roman" w:cs="Times New Roman"/>
          <w:color w:val="000000"/>
          <w:sz w:val="20"/>
          <w:szCs w:val="20"/>
        </w:rPr>
        <w:t>http://www.csulb.edu/divisions/aa/personnel/evaluations/rtp/documents/CSLC%20Vals%20RTP.pdf</w:t>
      </w:r>
    </w:p>
    <w:p w:rsidR="00EA64AF" w:rsidRPr="000A5468" w:rsidRDefault="00EA64AF" w:rsidP="007E3A34">
      <w:pPr>
        <w:autoSpaceDE w:val="0"/>
        <w:autoSpaceDN w:val="0"/>
        <w:adjustRightInd w:val="0"/>
        <w:spacing w:after="0" w:line="240" w:lineRule="auto"/>
        <w:rPr>
          <w:rFonts w:cstheme="minorHAnsi"/>
          <w:bCs/>
          <w:i/>
          <w:sz w:val="20"/>
          <w:szCs w:val="20"/>
        </w:rPr>
      </w:pPr>
    </w:p>
    <w:p w:rsidR="001657CD" w:rsidRPr="000A5468" w:rsidRDefault="001657CD" w:rsidP="001657CD">
      <w:pPr>
        <w:widowControl w:val="0"/>
        <w:autoSpaceDE w:val="0"/>
        <w:autoSpaceDN w:val="0"/>
        <w:adjustRightInd w:val="0"/>
        <w:spacing w:after="240"/>
        <w:rPr>
          <w:sz w:val="20"/>
          <w:szCs w:val="20"/>
        </w:rPr>
      </w:pPr>
      <w:r w:rsidRPr="000A5468">
        <w:rPr>
          <w:rFonts w:cstheme="minorHAnsi"/>
          <w:bCs/>
          <w:i/>
          <w:sz w:val="20"/>
          <w:szCs w:val="20"/>
        </w:rPr>
        <w:t>California State University, Monterey Bay</w:t>
      </w:r>
      <w:r w:rsidRPr="000A5468">
        <w:rPr>
          <w:sz w:val="20"/>
          <w:szCs w:val="20"/>
        </w:rPr>
        <w:t xml:space="preserve"> </w:t>
      </w:r>
      <w:r w:rsidRPr="000A5468">
        <w:rPr>
          <w:sz w:val="20"/>
          <w:szCs w:val="20"/>
        </w:rPr>
        <w:br/>
      </w:r>
      <w:hyperlink r:id="rId18" w:history="1">
        <w:r w:rsidRPr="00850C0C">
          <w:rPr>
            <w:rStyle w:val="Hyperlink"/>
            <w:color w:val="auto"/>
            <w:sz w:val="20"/>
            <w:szCs w:val="20"/>
            <w:u w:val="none"/>
          </w:rPr>
          <w:t>http://ap.csumb.edu/retention-tenure-promotion</w:t>
        </w:r>
      </w:hyperlink>
      <w:r w:rsidR="00850C0C" w:rsidRPr="00850C0C">
        <w:rPr>
          <w:rStyle w:val="Hyperlink"/>
          <w:color w:val="auto"/>
          <w:sz w:val="20"/>
          <w:szCs w:val="20"/>
          <w:u w:val="none"/>
        </w:rPr>
        <w:t xml:space="preserve">  (page 2 of new policy).</w:t>
      </w:r>
    </w:p>
    <w:p w:rsidR="00420AC2" w:rsidRPr="000A5468" w:rsidRDefault="00420AC2" w:rsidP="00420AC2">
      <w:pPr>
        <w:pStyle w:val="Pa39"/>
        <w:spacing w:after="160"/>
        <w:rPr>
          <w:rFonts w:ascii="Times New Roman" w:hAnsi="Times New Roman" w:cs="Times New Roman"/>
          <w:sz w:val="20"/>
          <w:szCs w:val="20"/>
        </w:rPr>
      </w:pPr>
      <w:r w:rsidRPr="000A5468">
        <w:rPr>
          <w:rFonts w:ascii="Times New Roman" w:hAnsi="Times New Roman" w:cs="Times New Roman"/>
          <w:i/>
          <w:sz w:val="20"/>
          <w:szCs w:val="20"/>
          <w:lang w:val="de-DE"/>
        </w:rPr>
        <w:t>Michigan State University</w:t>
      </w:r>
      <w:r w:rsidRPr="000A5468">
        <w:rPr>
          <w:rFonts w:ascii="Times New Roman" w:hAnsi="Times New Roman" w:cs="Times New Roman"/>
          <w:sz w:val="20"/>
          <w:szCs w:val="20"/>
          <w:lang w:val="de-DE"/>
        </w:rPr>
        <w:t xml:space="preserve"> </w:t>
      </w:r>
      <w:r w:rsidRPr="000A5468">
        <w:rPr>
          <w:rFonts w:ascii="Times New Roman" w:hAnsi="Times New Roman" w:cs="Times New Roman"/>
          <w:sz w:val="20"/>
          <w:szCs w:val="20"/>
          <w:lang w:val="de-DE"/>
        </w:rPr>
        <w:br/>
        <w:t xml:space="preserve">Glass, C. R., Doberneck, D. M., &amp; Schweitzer, J. H. (2009, November). </w:t>
      </w:r>
      <w:r w:rsidRPr="000A5468">
        <w:rPr>
          <w:rFonts w:ascii="Times New Roman" w:hAnsi="Times New Roman" w:cs="Times New Roman"/>
          <w:sz w:val="20"/>
          <w:szCs w:val="20"/>
        </w:rPr>
        <w:t xml:space="preserve">Summary of the 2001 revisions to the reappointment, promotion, and tenure form at Michigan State University: Expanding the definition of scholarship to include engagement. East Lansing, MI: Michigan State University, National Collaborative for the Study of University Engagement. Available at: </w:t>
      </w:r>
      <w:hyperlink r:id="rId19" w:history="1">
        <w:r w:rsidRPr="000A5468">
          <w:rPr>
            <w:rStyle w:val="Hyperlink"/>
            <w:rFonts w:ascii="Times New Roman" w:hAnsi="Times New Roman" w:cs="Times New Roman"/>
            <w:sz w:val="20"/>
            <w:szCs w:val="20"/>
          </w:rPr>
          <w:t>http://www.ncsue.msu.edu/files/EngagementExchange_No.1_Jan2010.pdf</w:t>
        </w:r>
      </w:hyperlink>
      <w:r w:rsidRPr="000A5468">
        <w:rPr>
          <w:rFonts w:ascii="Times New Roman" w:hAnsi="Times New Roman" w:cs="Times New Roman"/>
          <w:sz w:val="20"/>
          <w:szCs w:val="20"/>
        </w:rPr>
        <w:t>.</w:t>
      </w:r>
    </w:p>
    <w:p w:rsidR="00CB7FE3" w:rsidRPr="000A5468" w:rsidRDefault="00D05721" w:rsidP="00CB7FE3">
      <w:pPr>
        <w:rPr>
          <w:sz w:val="20"/>
          <w:szCs w:val="20"/>
        </w:rPr>
      </w:pPr>
      <w:hyperlink r:id="rId20" w:history="1">
        <w:r w:rsidR="00CB7FE3" w:rsidRPr="000A5468">
          <w:rPr>
            <w:rStyle w:val="Hyperlink"/>
            <w:sz w:val="20"/>
            <w:szCs w:val="20"/>
          </w:rPr>
          <w:t>http://ncsue.msu.edu/files/Omahapresentation2.pdf</w:t>
        </w:r>
      </w:hyperlink>
      <w:r w:rsidR="00CB7FE3" w:rsidRPr="000A5468">
        <w:rPr>
          <w:sz w:val="20"/>
          <w:szCs w:val="20"/>
        </w:rPr>
        <w:t xml:space="preserve"> </w:t>
      </w:r>
    </w:p>
    <w:p w:rsidR="001657CD" w:rsidRPr="000A5468" w:rsidRDefault="001657CD" w:rsidP="001657CD">
      <w:pPr>
        <w:widowControl w:val="0"/>
        <w:autoSpaceDE w:val="0"/>
        <w:autoSpaceDN w:val="0"/>
        <w:adjustRightInd w:val="0"/>
        <w:spacing w:after="240"/>
        <w:rPr>
          <w:rFonts w:cs="Times New Roman"/>
          <w:b/>
          <w:sz w:val="20"/>
          <w:szCs w:val="20"/>
          <w:u w:val="single"/>
        </w:rPr>
      </w:pPr>
      <w:r w:rsidRPr="000A5468">
        <w:rPr>
          <w:i/>
          <w:sz w:val="20"/>
          <w:szCs w:val="20"/>
        </w:rPr>
        <w:t>North Carolina State University</w:t>
      </w:r>
      <w:r w:rsidRPr="000A5468">
        <w:rPr>
          <w:sz w:val="20"/>
          <w:szCs w:val="20"/>
        </w:rPr>
        <w:br/>
        <w:t xml:space="preserve">North Carolina State University. (2010). </w:t>
      </w:r>
      <w:r w:rsidRPr="000A5468">
        <w:rPr>
          <w:i/>
          <w:iCs/>
          <w:sz w:val="20"/>
          <w:szCs w:val="20"/>
        </w:rPr>
        <w:t>Integrating learning, discovery, and engagement through the scholarship of engagement: Report of the scholarship of engagement task force North Carolina State University</w:t>
      </w:r>
      <w:r w:rsidRPr="000A5468">
        <w:rPr>
          <w:sz w:val="20"/>
          <w:szCs w:val="20"/>
        </w:rPr>
        <w:t>. Retrieved from http://www.ncsu.edu/extension/documents/SET2010.pdf</w:t>
      </w:r>
    </w:p>
    <w:p w:rsidR="00420AC2" w:rsidRPr="000A5468" w:rsidRDefault="00CA0011" w:rsidP="00420AC2">
      <w:pPr>
        <w:pStyle w:val="Default"/>
        <w:rPr>
          <w:rFonts w:asciiTheme="minorHAnsi" w:hAnsiTheme="minorHAnsi" w:cstheme="minorHAnsi"/>
          <w:i/>
          <w:sz w:val="20"/>
          <w:szCs w:val="20"/>
        </w:rPr>
      </w:pPr>
      <w:r w:rsidRPr="000A5468">
        <w:rPr>
          <w:rFonts w:asciiTheme="minorHAnsi" w:hAnsiTheme="minorHAnsi" w:cstheme="minorHAnsi"/>
          <w:i/>
          <w:sz w:val="20"/>
          <w:szCs w:val="20"/>
        </w:rPr>
        <w:t>Portland State University</w:t>
      </w:r>
      <w:r w:rsidRPr="000A5468">
        <w:rPr>
          <w:rFonts w:asciiTheme="minorHAnsi" w:hAnsiTheme="minorHAnsi" w:cstheme="minorHAnsi"/>
          <w:i/>
          <w:sz w:val="20"/>
          <w:szCs w:val="20"/>
        </w:rPr>
        <w:br/>
      </w:r>
      <w:hyperlink r:id="rId21" w:history="1">
        <w:r w:rsidR="00850C0C" w:rsidRPr="0080421D">
          <w:rPr>
            <w:rStyle w:val="Hyperlink"/>
            <w:rFonts w:asciiTheme="minorHAnsi" w:hAnsiTheme="minorHAnsi" w:cstheme="minorHAnsi"/>
            <w:sz w:val="20"/>
            <w:szCs w:val="20"/>
          </w:rPr>
          <w:t>http://www.pdx.edu/oaa/promotion-and-tenure-information</w:t>
        </w:r>
      </w:hyperlink>
      <w:r w:rsidR="00850C0C">
        <w:rPr>
          <w:rFonts w:asciiTheme="minorHAnsi" w:hAnsiTheme="minorHAnsi" w:cstheme="minorHAnsi"/>
          <w:sz w:val="20"/>
          <w:szCs w:val="20"/>
        </w:rPr>
        <w:t xml:space="preserve"> (page 10)</w:t>
      </w:r>
      <w:r w:rsidRPr="000A5468">
        <w:rPr>
          <w:rFonts w:asciiTheme="minorHAnsi" w:hAnsiTheme="minorHAnsi" w:cstheme="minorHAnsi"/>
          <w:i/>
          <w:sz w:val="20"/>
          <w:szCs w:val="20"/>
        </w:rPr>
        <w:br/>
      </w:r>
    </w:p>
    <w:p w:rsidR="001657CD" w:rsidRPr="00850C0C" w:rsidRDefault="001657CD" w:rsidP="00420AC2">
      <w:pPr>
        <w:spacing w:after="0" w:line="240" w:lineRule="auto"/>
        <w:rPr>
          <w:rStyle w:val="Hyperlink"/>
          <w:rFonts w:cstheme="minorHAnsi"/>
          <w:sz w:val="20"/>
          <w:szCs w:val="20"/>
        </w:rPr>
      </w:pPr>
      <w:r w:rsidRPr="000A5468">
        <w:rPr>
          <w:rFonts w:ascii="Times New Roman" w:hAnsi="Times New Roman" w:cs="Times New Roman"/>
          <w:bCs/>
          <w:i/>
          <w:sz w:val="20"/>
          <w:szCs w:val="20"/>
        </w:rPr>
        <w:t>Syracuse University</w:t>
      </w:r>
      <w:r w:rsidRPr="000A5468">
        <w:rPr>
          <w:rFonts w:ascii="Times New Roman" w:hAnsi="Times New Roman" w:cs="Times New Roman"/>
          <w:bCs/>
          <w:i/>
          <w:sz w:val="20"/>
          <w:szCs w:val="20"/>
        </w:rPr>
        <w:br/>
      </w:r>
      <w:hyperlink r:id="rId22" w:history="1">
        <w:r w:rsidRPr="000A5468">
          <w:rPr>
            <w:rStyle w:val="Hyperlink"/>
            <w:sz w:val="20"/>
            <w:szCs w:val="20"/>
          </w:rPr>
          <w:t>http://www.syr.edu/academics/office_of_academic_admin/faculty/manual/tenure.html</w:t>
        </w:r>
      </w:hyperlink>
      <w:r w:rsidR="00850C0C">
        <w:rPr>
          <w:rStyle w:val="Hyperlink"/>
          <w:sz w:val="20"/>
          <w:szCs w:val="20"/>
        </w:rPr>
        <w:t xml:space="preserve">  </w:t>
      </w:r>
      <w:r w:rsidR="00850C0C" w:rsidRPr="00850C0C">
        <w:rPr>
          <w:rStyle w:val="Hyperlink"/>
          <w:rFonts w:cstheme="minorHAnsi"/>
          <w:color w:val="auto"/>
          <w:sz w:val="20"/>
          <w:szCs w:val="20"/>
          <w:u w:val="none"/>
        </w:rPr>
        <w:t xml:space="preserve">(Section </w:t>
      </w:r>
      <w:r w:rsidR="00850C0C" w:rsidRPr="00850C0C">
        <w:rPr>
          <w:rFonts w:cstheme="minorHAnsi"/>
          <w:sz w:val="20"/>
          <w:szCs w:val="20"/>
        </w:rPr>
        <w:t>2.32)</w:t>
      </w:r>
    </w:p>
    <w:p w:rsidR="001657CD" w:rsidRPr="000A5468" w:rsidRDefault="001657CD" w:rsidP="00420AC2">
      <w:pPr>
        <w:spacing w:after="0" w:line="240" w:lineRule="auto"/>
        <w:rPr>
          <w:rFonts w:ascii="Times New Roman" w:hAnsi="Times New Roman" w:cs="Times New Roman"/>
          <w:bCs/>
          <w:i/>
          <w:sz w:val="20"/>
          <w:szCs w:val="20"/>
        </w:rPr>
      </w:pPr>
    </w:p>
    <w:p w:rsidR="00CA0011" w:rsidRPr="000A5468" w:rsidRDefault="00CA0011" w:rsidP="00CA0011">
      <w:pPr>
        <w:autoSpaceDE w:val="0"/>
        <w:autoSpaceDN w:val="0"/>
        <w:adjustRightInd w:val="0"/>
        <w:spacing w:after="0" w:line="240" w:lineRule="auto"/>
        <w:rPr>
          <w:rFonts w:ascii="Times New Roman" w:hAnsi="Times New Roman" w:cs="Times New Roman"/>
          <w:color w:val="000000"/>
          <w:sz w:val="20"/>
          <w:szCs w:val="20"/>
        </w:rPr>
      </w:pPr>
      <w:r w:rsidRPr="000A5468">
        <w:rPr>
          <w:rFonts w:cstheme="minorHAnsi"/>
          <w:bCs/>
          <w:i/>
          <w:sz w:val="20"/>
          <w:szCs w:val="20"/>
        </w:rPr>
        <w:t>Tulane University</w:t>
      </w:r>
      <w:r w:rsidRPr="000A5468">
        <w:rPr>
          <w:rFonts w:cstheme="minorHAnsi"/>
          <w:bCs/>
          <w:i/>
          <w:sz w:val="20"/>
          <w:szCs w:val="20"/>
        </w:rPr>
        <w:br/>
      </w:r>
      <w:r w:rsidRPr="000A5468">
        <w:rPr>
          <w:rFonts w:cstheme="minorHAnsi"/>
          <w:bCs/>
          <w:sz w:val="20"/>
          <w:szCs w:val="20"/>
        </w:rPr>
        <w:t>Academic Review and Engagement at Tulane University</w:t>
      </w:r>
      <w:r w:rsidRPr="000A5468">
        <w:rPr>
          <w:rFonts w:cstheme="minorHAnsi"/>
          <w:b/>
          <w:bCs/>
          <w:sz w:val="20"/>
          <w:szCs w:val="20"/>
        </w:rPr>
        <w:t xml:space="preserve">. </w:t>
      </w:r>
      <w:r w:rsidRPr="000A5468">
        <w:rPr>
          <w:rFonts w:cstheme="minorHAnsi"/>
          <w:bCs/>
          <w:sz w:val="20"/>
          <w:szCs w:val="20"/>
        </w:rPr>
        <w:t>(2013). Retrieved from</w:t>
      </w:r>
      <w:r w:rsidRPr="000A5468">
        <w:rPr>
          <w:rFonts w:cstheme="minorHAnsi"/>
          <w:b/>
          <w:bCs/>
          <w:sz w:val="20"/>
          <w:szCs w:val="20"/>
        </w:rPr>
        <w:t xml:space="preserve"> </w:t>
      </w:r>
      <w:r w:rsidRPr="000A5468">
        <w:rPr>
          <w:rFonts w:cstheme="minorHAnsi"/>
          <w:color w:val="000000"/>
          <w:sz w:val="20"/>
          <w:szCs w:val="20"/>
        </w:rPr>
        <w:t>http://tulane.edu/provost/upload/Academic-Review-and-Engagement-February-2013.pdf</w:t>
      </w:r>
    </w:p>
    <w:p w:rsidR="00CA0011" w:rsidRPr="000A5468" w:rsidRDefault="00CA0011" w:rsidP="00420AC2">
      <w:pPr>
        <w:spacing w:after="0" w:line="240" w:lineRule="auto"/>
        <w:rPr>
          <w:rFonts w:ascii="Times New Roman" w:hAnsi="Times New Roman" w:cs="Times New Roman"/>
          <w:bCs/>
          <w:i/>
          <w:sz w:val="20"/>
          <w:szCs w:val="20"/>
        </w:rPr>
      </w:pPr>
    </w:p>
    <w:p w:rsidR="00CB7FE3" w:rsidRPr="000A5468" w:rsidRDefault="00CB7FE3" w:rsidP="00420AC2">
      <w:pPr>
        <w:spacing w:after="0" w:line="240" w:lineRule="auto"/>
        <w:rPr>
          <w:rFonts w:ascii="Times New Roman" w:hAnsi="Times New Roman" w:cs="Times New Roman"/>
          <w:bCs/>
          <w:i/>
          <w:sz w:val="20"/>
          <w:szCs w:val="20"/>
        </w:rPr>
      </w:pPr>
      <w:r w:rsidRPr="000A5468">
        <w:rPr>
          <w:rFonts w:ascii="Times New Roman" w:hAnsi="Times New Roman" w:cs="Times New Roman"/>
          <w:bCs/>
          <w:i/>
          <w:sz w:val="20"/>
          <w:szCs w:val="20"/>
        </w:rPr>
        <w:t>University of Memphis</w:t>
      </w:r>
      <w:r w:rsidRPr="000A5468">
        <w:rPr>
          <w:rFonts w:ascii="Times New Roman" w:hAnsi="Times New Roman" w:cs="Times New Roman"/>
          <w:bCs/>
          <w:i/>
          <w:sz w:val="20"/>
          <w:szCs w:val="20"/>
        </w:rPr>
        <w:br/>
      </w:r>
      <w:hyperlink r:id="rId23" w:anchor="Definitions%20of%20Teaching,%20Scholarship,%20and%20Service" w:history="1">
        <w:r w:rsidRPr="000A5468">
          <w:rPr>
            <w:rStyle w:val="Hyperlink"/>
            <w:rFonts w:ascii="Times New Roman" w:hAnsi="Times New Roman" w:cs="Times New Roman"/>
            <w:bCs/>
            <w:sz w:val="20"/>
            <w:szCs w:val="20"/>
          </w:rPr>
          <w:t>http://www.memphis.edu/facultyhandbook/2012FHB_Chapter4.htm#Definitions%20of%20Teaching,%20Scholarship,%20and%20Service</w:t>
        </w:r>
      </w:hyperlink>
    </w:p>
    <w:p w:rsidR="00CB7FE3" w:rsidRPr="000A5468" w:rsidRDefault="00CB7FE3" w:rsidP="00420AC2">
      <w:pPr>
        <w:spacing w:after="0" w:line="240" w:lineRule="auto"/>
        <w:rPr>
          <w:rFonts w:ascii="Times New Roman" w:hAnsi="Times New Roman" w:cs="Times New Roman"/>
          <w:bCs/>
          <w:i/>
          <w:sz w:val="20"/>
          <w:szCs w:val="20"/>
        </w:rPr>
      </w:pPr>
    </w:p>
    <w:p w:rsidR="00CA0011" w:rsidRPr="000A5468" w:rsidRDefault="00CA0011" w:rsidP="00420AC2">
      <w:pPr>
        <w:spacing w:after="0" w:line="240" w:lineRule="auto"/>
        <w:rPr>
          <w:rFonts w:ascii="Times New Roman" w:hAnsi="Times New Roman" w:cs="Times New Roman"/>
          <w:bCs/>
          <w:sz w:val="20"/>
          <w:szCs w:val="20"/>
        </w:rPr>
      </w:pPr>
      <w:r w:rsidRPr="000A5468">
        <w:rPr>
          <w:rFonts w:ascii="Times New Roman" w:hAnsi="Times New Roman" w:cs="Times New Roman"/>
          <w:bCs/>
          <w:i/>
          <w:sz w:val="20"/>
          <w:szCs w:val="20"/>
        </w:rPr>
        <w:t>University of North Carolina,</w:t>
      </w:r>
      <w:r w:rsidR="000A5468" w:rsidRPr="000A5468">
        <w:rPr>
          <w:rFonts w:ascii="Times New Roman" w:hAnsi="Times New Roman" w:cs="Times New Roman"/>
          <w:bCs/>
          <w:i/>
          <w:sz w:val="20"/>
          <w:szCs w:val="20"/>
        </w:rPr>
        <w:t xml:space="preserve"> </w:t>
      </w:r>
      <w:r w:rsidRPr="000A5468">
        <w:rPr>
          <w:rFonts w:ascii="Times New Roman" w:hAnsi="Times New Roman" w:cs="Times New Roman"/>
          <w:bCs/>
          <w:i/>
          <w:sz w:val="20"/>
          <w:szCs w:val="20"/>
        </w:rPr>
        <w:t>Greensboro</w:t>
      </w:r>
      <w:r w:rsidRPr="000A5468">
        <w:rPr>
          <w:rFonts w:ascii="Times New Roman" w:hAnsi="Times New Roman" w:cs="Times New Roman"/>
          <w:bCs/>
          <w:i/>
          <w:sz w:val="20"/>
          <w:szCs w:val="20"/>
        </w:rPr>
        <w:br/>
      </w:r>
      <w:hyperlink r:id="rId24" w:history="1">
        <w:r w:rsidR="00850C0C" w:rsidRPr="0080421D">
          <w:rPr>
            <w:rStyle w:val="Hyperlink"/>
            <w:rFonts w:ascii="Times New Roman" w:hAnsi="Times New Roman" w:cs="Times New Roman"/>
            <w:bCs/>
            <w:sz w:val="20"/>
            <w:szCs w:val="20"/>
          </w:rPr>
          <w:t>http://provost.uncg.edu/documents/personnel/evaluationPT.pdf</w:t>
        </w:r>
      </w:hyperlink>
      <w:r w:rsidR="00850C0C">
        <w:rPr>
          <w:rFonts w:ascii="Times New Roman" w:hAnsi="Times New Roman" w:cs="Times New Roman"/>
          <w:bCs/>
          <w:sz w:val="20"/>
          <w:szCs w:val="20"/>
        </w:rPr>
        <w:t xml:space="preserve">  (Sections </w:t>
      </w:r>
      <w:r w:rsidR="00850C0C" w:rsidRPr="003A6E84">
        <w:t>II.A.1.(e)</w:t>
      </w:r>
      <w:r w:rsidR="00850C0C">
        <w:t xml:space="preserve"> &amp; </w:t>
      </w:r>
      <w:r w:rsidR="00850C0C" w:rsidRPr="003A6E84">
        <w:rPr>
          <w:rFonts w:cs="Times New Roman"/>
        </w:rPr>
        <w:t>II.B.1.(c)</w:t>
      </w:r>
    </w:p>
    <w:p w:rsidR="00CA0011" w:rsidRPr="000A5468" w:rsidRDefault="00CA0011" w:rsidP="00420AC2">
      <w:pPr>
        <w:spacing w:after="0" w:line="240" w:lineRule="auto"/>
        <w:rPr>
          <w:rFonts w:ascii="Times New Roman" w:hAnsi="Times New Roman" w:cs="Times New Roman"/>
          <w:bCs/>
          <w:i/>
          <w:sz w:val="20"/>
          <w:szCs w:val="20"/>
        </w:rPr>
      </w:pPr>
    </w:p>
    <w:p w:rsidR="00420AC2" w:rsidRPr="000A5468" w:rsidRDefault="00420AC2" w:rsidP="00420AC2">
      <w:pPr>
        <w:spacing w:after="0" w:line="240" w:lineRule="auto"/>
        <w:rPr>
          <w:rFonts w:ascii="Times New Roman" w:hAnsi="Times New Roman" w:cs="Times New Roman"/>
          <w:bCs/>
          <w:sz w:val="20"/>
          <w:szCs w:val="20"/>
        </w:rPr>
      </w:pPr>
      <w:r w:rsidRPr="000A5468">
        <w:rPr>
          <w:rFonts w:ascii="Times New Roman" w:hAnsi="Times New Roman" w:cs="Times New Roman"/>
          <w:bCs/>
          <w:i/>
          <w:sz w:val="20"/>
          <w:szCs w:val="20"/>
        </w:rPr>
        <w:t>Virginia Tech</w:t>
      </w:r>
      <w:r w:rsidRPr="000A5468">
        <w:rPr>
          <w:rFonts w:ascii="Times New Roman" w:hAnsi="Times New Roman" w:cs="Times New Roman"/>
          <w:bCs/>
          <w:sz w:val="20"/>
          <w:szCs w:val="20"/>
        </w:rPr>
        <w:br/>
        <w:t>Piercy, F., Stoudt, D., Asselin, S., Tilley-Lubbs, K. (2011). White Paper:</w:t>
      </w:r>
    </w:p>
    <w:p w:rsidR="004D529D" w:rsidRPr="000A5468" w:rsidRDefault="00420AC2" w:rsidP="008F5FA6">
      <w:pPr>
        <w:autoSpaceDE w:val="0"/>
        <w:autoSpaceDN w:val="0"/>
        <w:adjustRightInd w:val="0"/>
        <w:spacing w:after="0" w:line="240" w:lineRule="auto"/>
        <w:rPr>
          <w:rFonts w:ascii="Times New Roman" w:hAnsi="Times New Roman" w:cs="Times New Roman"/>
          <w:sz w:val="20"/>
          <w:szCs w:val="20"/>
        </w:rPr>
      </w:pPr>
      <w:r w:rsidRPr="000A5468">
        <w:rPr>
          <w:rFonts w:ascii="Times New Roman" w:hAnsi="Times New Roman" w:cs="Times New Roman"/>
          <w:bCs/>
          <w:sz w:val="20"/>
          <w:szCs w:val="20"/>
        </w:rPr>
        <w:t>Engaged Scholarship in Promotion and Merit Reviews, College of Liberal Arts and Human Sciences,</w:t>
      </w:r>
      <w:r w:rsidR="00850C0C">
        <w:rPr>
          <w:rFonts w:ascii="Times New Roman" w:hAnsi="Times New Roman" w:cs="Times New Roman"/>
          <w:bCs/>
          <w:sz w:val="20"/>
          <w:szCs w:val="20"/>
        </w:rPr>
        <w:t xml:space="preserve"> </w:t>
      </w:r>
      <w:r w:rsidRPr="000A5468">
        <w:rPr>
          <w:rFonts w:ascii="Times New Roman" w:hAnsi="Times New Roman" w:cs="Times New Roman"/>
          <w:bCs/>
          <w:sz w:val="20"/>
          <w:szCs w:val="20"/>
        </w:rPr>
        <w:t xml:space="preserve">Virginia Tech. Retrieved from: </w:t>
      </w:r>
      <w:r w:rsidRPr="000A5468">
        <w:rPr>
          <w:rFonts w:ascii="Times New Roman" w:eastAsia="Times New Roman" w:hAnsi="Times New Roman" w:cs="Times New Roman"/>
          <w:bCs/>
          <w:sz w:val="20"/>
          <w:szCs w:val="20"/>
        </w:rPr>
        <w:t>http://www.clahs.vt.edu/Outreach/pdf/White_Paper_Engaged_Scholarship.pdf</w:t>
      </w:r>
    </w:p>
    <w:sectPr w:rsidR="004D529D" w:rsidRPr="000A5468" w:rsidSect="00AC7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ITC Officina Sans Book">
    <w:altName w:val="Cambria"/>
    <w:panose1 w:val="00000000000000000000"/>
    <w:charset w:val="00"/>
    <w:family w:val="swiss"/>
    <w:notTrueType/>
    <w:pitch w:val="default"/>
    <w:sig w:usb0="00000003" w:usb1="00000000" w:usb2="00000000" w:usb3="00000000" w:csb0="00000001"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MS PMincho">
    <w:panose1 w:val="02020600040205080304"/>
    <w:charset w:val="80"/>
    <w:family w:val="roma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9D5"/>
    <w:multiLevelType w:val="multilevel"/>
    <w:tmpl w:val="C1824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C53D1B"/>
    <w:multiLevelType w:val="multilevel"/>
    <w:tmpl w:val="DB84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EC75C4"/>
    <w:multiLevelType w:val="hybridMultilevel"/>
    <w:tmpl w:val="3ED4A6EC"/>
    <w:lvl w:ilvl="0" w:tplc="27C06FA2">
      <w:start w:val="1"/>
      <w:numFmt w:val="decimal"/>
      <w:lvlText w:val="%1."/>
      <w:lvlJc w:val="left"/>
      <w:pPr>
        <w:tabs>
          <w:tab w:val="num" w:pos="720"/>
        </w:tabs>
        <w:ind w:left="720" w:hanging="360"/>
      </w:pPr>
    </w:lvl>
    <w:lvl w:ilvl="1" w:tplc="033C8B18" w:tentative="1">
      <w:start w:val="1"/>
      <w:numFmt w:val="decimal"/>
      <w:lvlText w:val="%2."/>
      <w:lvlJc w:val="left"/>
      <w:pPr>
        <w:tabs>
          <w:tab w:val="num" w:pos="1440"/>
        </w:tabs>
        <w:ind w:left="1440" w:hanging="360"/>
      </w:pPr>
    </w:lvl>
    <w:lvl w:ilvl="2" w:tplc="A302EEFC" w:tentative="1">
      <w:start w:val="1"/>
      <w:numFmt w:val="decimal"/>
      <w:lvlText w:val="%3."/>
      <w:lvlJc w:val="left"/>
      <w:pPr>
        <w:tabs>
          <w:tab w:val="num" w:pos="2160"/>
        </w:tabs>
        <w:ind w:left="2160" w:hanging="360"/>
      </w:pPr>
    </w:lvl>
    <w:lvl w:ilvl="3" w:tplc="D5F84884" w:tentative="1">
      <w:start w:val="1"/>
      <w:numFmt w:val="decimal"/>
      <w:lvlText w:val="%4."/>
      <w:lvlJc w:val="left"/>
      <w:pPr>
        <w:tabs>
          <w:tab w:val="num" w:pos="2880"/>
        </w:tabs>
        <w:ind w:left="2880" w:hanging="360"/>
      </w:pPr>
    </w:lvl>
    <w:lvl w:ilvl="4" w:tplc="49384E06" w:tentative="1">
      <w:start w:val="1"/>
      <w:numFmt w:val="decimal"/>
      <w:lvlText w:val="%5."/>
      <w:lvlJc w:val="left"/>
      <w:pPr>
        <w:tabs>
          <w:tab w:val="num" w:pos="3600"/>
        </w:tabs>
        <w:ind w:left="3600" w:hanging="360"/>
      </w:pPr>
    </w:lvl>
    <w:lvl w:ilvl="5" w:tplc="C770A4EE" w:tentative="1">
      <w:start w:val="1"/>
      <w:numFmt w:val="decimal"/>
      <w:lvlText w:val="%6."/>
      <w:lvlJc w:val="left"/>
      <w:pPr>
        <w:tabs>
          <w:tab w:val="num" w:pos="4320"/>
        </w:tabs>
        <w:ind w:left="4320" w:hanging="360"/>
      </w:pPr>
    </w:lvl>
    <w:lvl w:ilvl="6" w:tplc="D1A8D12E" w:tentative="1">
      <w:start w:val="1"/>
      <w:numFmt w:val="decimal"/>
      <w:lvlText w:val="%7."/>
      <w:lvlJc w:val="left"/>
      <w:pPr>
        <w:tabs>
          <w:tab w:val="num" w:pos="5040"/>
        </w:tabs>
        <w:ind w:left="5040" w:hanging="360"/>
      </w:pPr>
    </w:lvl>
    <w:lvl w:ilvl="7" w:tplc="7ADA9F68" w:tentative="1">
      <w:start w:val="1"/>
      <w:numFmt w:val="decimal"/>
      <w:lvlText w:val="%8."/>
      <w:lvlJc w:val="left"/>
      <w:pPr>
        <w:tabs>
          <w:tab w:val="num" w:pos="5760"/>
        </w:tabs>
        <w:ind w:left="5760" w:hanging="360"/>
      </w:pPr>
    </w:lvl>
    <w:lvl w:ilvl="8" w:tplc="FA448570"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C2D"/>
    <w:rsid w:val="00020949"/>
    <w:rsid w:val="000544BF"/>
    <w:rsid w:val="00070F4A"/>
    <w:rsid w:val="000A5468"/>
    <w:rsid w:val="000A6B6D"/>
    <w:rsid w:val="00113AB8"/>
    <w:rsid w:val="00134EEE"/>
    <w:rsid w:val="001657CD"/>
    <w:rsid w:val="00191024"/>
    <w:rsid w:val="00201666"/>
    <w:rsid w:val="002121F9"/>
    <w:rsid w:val="002135CB"/>
    <w:rsid w:val="002160C3"/>
    <w:rsid w:val="00224D74"/>
    <w:rsid w:val="0022640B"/>
    <w:rsid w:val="00227966"/>
    <w:rsid w:val="002340EB"/>
    <w:rsid w:val="0025225C"/>
    <w:rsid w:val="002671B0"/>
    <w:rsid w:val="00280B1B"/>
    <w:rsid w:val="002B1911"/>
    <w:rsid w:val="0030343A"/>
    <w:rsid w:val="00323FE5"/>
    <w:rsid w:val="00333436"/>
    <w:rsid w:val="003452E7"/>
    <w:rsid w:val="00391749"/>
    <w:rsid w:val="00392C79"/>
    <w:rsid w:val="003969E6"/>
    <w:rsid w:val="003C1378"/>
    <w:rsid w:val="00420AC2"/>
    <w:rsid w:val="00441D6A"/>
    <w:rsid w:val="00477BC8"/>
    <w:rsid w:val="00485330"/>
    <w:rsid w:val="00492FBF"/>
    <w:rsid w:val="004A241C"/>
    <w:rsid w:val="004D529D"/>
    <w:rsid w:val="004E04B2"/>
    <w:rsid w:val="004E15BB"/>
    <w:rsid w:val="00503A02"/>
    <w:rsid w:val="005168EF"/>
    <w:rsid w:val="00526B31"/>
    <w:rsid w:val="00527585"/>
    <w:rsid w:val="00541444"/>
    <w:rsid w:val="00546401"/>
    <w:rsid w:val="0055111E"/>
    <w:rsid w:val="00560EBD"/>
    <w:rsid w:val="005A1B1C"/>
    <w:rsid w:val="005F1E67"/>
    <w:rsid w:val="00606AE0"/>
    <w:rsid w:val="00660CAB"/>
    <w:rsid w:val="006E50B0"/>
    <w:rsid w:val="007125FD"/>
    <w:rsid w:val="00721C2D"/>
    <w:rsid w:val="00741863"/>
    <w:rsid w:val="007934C8"/>
    <w:rsid w:val="007944AB"/>
    <w:rsid w:val="00796EA1"/>
    <w:rsid w:val="007A63BF"/>
    <w:rsid w:val="007E3A34"/>
    <w:rsid w:val="00814C92"/>
    <w:rsid w:val="008224E2"/>
    <w:rsid w:val="008311CC"/>
    <w:rsid w:val="00842540"/>
    <w:rsid w:val="00844908"/>
    <w:rsid w:val="00850C0C"/>
    <w:rsid w:val="00882489"/>
    <w:rsid w:val="008A5EF6"/>
    <w:rsid w:val="008C4192"/>
    <w:rsid w:val="008F5FA6"/>
    <w:rsid w:val="00921EAC"/>
    <w:rsid w:val="009265E3"/>
    <w:rsid w:val="0093212A"/>
    <w:rsid w:val="009353FF"/>
    <w:rsid w:val="00952008"/>
    <w:rsid w:val="00976B67"/>
    <w:rsid w:val="009874A5"/>
    <w:rsid w:val="00987E03"/>
    <w:rsid w:val="009A52D6"/>
    <w:rsid w:val="009B0936"/>
    <w:rsid w:val="009B1F88"/>
    <w:rsid w:val="009C1C9E"/>
    <w:rsid w:val="009F6AC7"/>
    <w:rsid w:val="00A01053"/>
    <w:rsid w:val="00A05EDD"/>
    <w:rsid w:val="00A34560"/>
    <w:rsid w:val="00A456BF"/>
    <w:rsid w:val="00A71738"/>
    <w:rsid w:val="00A74980"/>
    <w:rsid w:val="00AB3622"/>
    <w:rsid w:val="00AC72E3"/>
    <w:rsid w:val="00AF7B40"/>
    <w:rsid w:val="00B12F22"/>
    <w:rsid w:val="00B21553"/>
    <w:rsid w:val="00B61A77"/>
    <w:rsid w:val="00B63590"/>
    <w:rsid w:val="00C601E2"/>
    <w:rsid w:val="00C76833"/>
    <w:rsid w:val="00CA0011"/>
    <w:rsid w:val="00CB7FE3"/>
    <w:rsid w:val="00CC1E50"/>
    <w:rsid w:val="00D05721"/>
    <w:rsid w:val="00D7794F"/>
    <w:rsid w:val="00D81FB8"/>
    <w:rsid w:val="00DA592A"/>
    <w:rsid w:val="00E0659F"/>
    <w:rsid w:val="00E2242E"/>
    <w:rsid w:val="00E31E59"/>
    <w:rsid w:val="00E6312F"/>
    <w:rsid w:val="00E669BF"/>
    <w:rsid w:val="00EA64AF"/>
    <w:rsid w:val="00EE4798"/>
    <w:rsid w:val="00EF13C6"/>
    <w:rsid w:val="00EF7ACF"/>
    <w:rsid w:val="00FA461D"/>
    <w:rsid w:val="00FB2E58"/>
    <w:rsid w:val="00FC2911"/>
    <w:rsid w:val="00FD1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11E"/>
  </w:style>
  <w:style w:type="paragraph" w:styleId="Heading1">
    <w:name w:val="heading 1"/>
    <w:basedOn w:val="Normal"/>
    <w:next w:val="Normal"/>
    <w:link w:val="Heading1Char"/>
    <w:uiPriority w:val="9"/>
    <w:qFormat/>
    <w:rsid w:val="009265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21C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21C2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1C2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21C2D"/>
    <w:rPr>
      <w:rFonts w:ascii="Times New Roman" w:eastAsia="Times New Roman" w:hAnsi="Times New Roman" w:cs="Times New Roman"/>
      <w:b/>
      <w:bCs/>
      <w:sz w:val="24"/>
      <w:szCs w:val="24"/>
    </w:rPr>
  </w:style>
  <w:style w:type="character" w:styleId="Emphasis">
    <w:name w:val="Emphasis"/>
    <w:basedOn w:val="DefaultParagraphFont"/>
    <w:uiPriority w:val="20"/>
    <w:qFormat/>
    <w:rsid w:val="00721C2D"/>
    <w:rPr>
      <w:i/>
      <w:iCs/>
    </w:rPr>
  </w:style>
  <w:style w:type="character" w:styleId="Hyperlink">
    <w:name w:val="Hyperlink"/>
    <w:basedOn w:val="DefaultParagraphFont"/>
    <w:uiPriority w:val="99"/>
    <w:unhideWhenUsed/>
    <w:rsid w:val="00721C2D"/>
    <w:rPr>
      <w:color w:val="0000FF"/>
      <w:u w:val="single"/>
    </w:rPr>
  </w:style>
  <w:style w:type="character" w:customStyle="1" w:styleId="rubric">
    <w:name w:val="rubric"/>
    <w:basedOn w:val="DefaultParagraphFont"/>
    <w:rsid w:val="00721C2D"/>
  </w:style>
  <w:style w:type="character" w:customStyle="1" w:styleId="definition">
    <w:name w:val="definition"/>
    <w:basedOn w:val="DefaultParagraphFont"/>
    <w:rsid w:val="00721C2D"/>
  </w:style>
  <w:style w:type="character" w:customStyle="1" w:styleId="doctype">
    <w:name w:val="doctype"/>
    <w:basedOn w:val="DefaultParagraphFont"/>
    <w:rsid w:val="00721C2D"/>
  </w:style>
  <w:style w:type="paragraph" w:styleId="NormalWeb">
    <w:name w:val="Normal (Web)"/>
    <w:basedOn w:val="Normal"/>
    <w:uiPriority w:val="99"/>
    <w:semiHidden/>
    <w:unhideWhenUsed/>
    <w:rsid w:val="00721C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
    <w:name w:val="small"/>
    <w:basedOn w:val="DefaultParagraphFont"/>
    <w:rsid w:val="00721C2D"/>
  </w:style>
  <w:style w:type="character" w:customStyle="1" w:styleId="citation">
    <w:name w:val="citation"/>
    <w:basedOn w:val="DefaultParagraphFont"/>
    <w:rsid w:val="00721C2D"/>
  </w:style>
  <w:style w:type="character" w:styleId="HTMLCite">
    <w:name w:val="HTML Cite"/>
    <w:basedOn w:val="DefaultParagraphFont"/>
    <w:uiPriority w:val="99"/>
    <w:semiHidden/>
    <w:unhideWhenUsed/>
    <w:rsid w:val="00721C2D"/>
    <w:rPr>
      <w:i/>
      <w:iCs/>
    </w:rPr>
  </w:style>
  <w:style w:type="character" w:styleId="Strong">
    <w:name w:val="Strong"/>
    <w:basedOn w:val="DefaultParagraphFont"/>
    <w:uiPriority w:val="22"/>
    <w:qFormat/>
    <w:rsid w:val="00721C2D"/>
    <w:rPr>
      <w:b/>
      <w:bCs/>
    </w:rPr>
  </w:style>
  <w:style w:type="paragraph" w:styleId="BalloonText">
    <w:name w:val="Balloon Text"/>
    <w:basedOn w:val="Normal"/>
    <w:link w:val="BalloonTextChar"/>
    <w:uiPriority w:val="99"/>
    <w:semiHidden/>
    <w:unhideWhenUsed/>
    <w:rsid w:val="00721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C2D"/>
    <w:rPr>
      <w:rFonts w:ascii="Tahoma" w:hAnsi="Tahoma" w:cs="Tahoma"/>
      <w:sz w:val="16"/>
      <w:szCs w:val="16"/>
    </w:rPr>
  </w:style>
  <w:style w:type="character" w:customStyle="1" w:styleId="highlight">
    <w:name w:val="highlight"/>
    <w:basedOn w:val="DefaultParagraphFont"/>
    <w:rsid w:val="00C601E2"/>
  </w:style>
  <w:style w:type="character" w:customStyle="1" w:styleId="additionalfields">
    <w:name w:val="additionalfields"/>
    <w:basedOn w:val="DefaultParagraphFont"/>
    <w:rsid w:val="00C601E2"/>
  </w:style>
  <w:style w:type="character" w:customStyle="1" w:styleId="label">
    <w:name w:val="label"/>
    <w:basedOn w:val="DefaultParagraphFont"/>
    <w:rsid w:val="00C601E2"/>
  </w:style>
  <w:style w:type="paragraph" w:customStyle="1" w:styleId="Default">
    <w:name w:val="Default"/>
    <w:rsid w:val="00C601E2"/>
    <w:pPr>
      <w:autoSpaceDE w:val="0"/>
      <w:autoSpaceDN w:val="0"/>
      <w:adjustRightInd w:val="0"/>
      <w:spacing w:after="0" w:line="240" w:lineRule="auto"/>
    </w:pPr>
    <w:rPr>
      <w:rFonts w:ascii="ITC Officina Sans Book" w:hAnsi="ITC Officina Sans Book" w:cs="ITC Officina Sans Book"/>
      <w:color w:val="000000"/>
      <w:sz w:val="24"/>
      <w:szCs w:val="24"/>
    </w:rPr>
  </w:style>
  <w:style w:type="paragraph" w:customStyle="1" w:styleId="Pa0">
    <w:name w:val="Pa0"/>
    <w:basedOn w:val="Default"/>
    <w:next w:val="Default"/>
    <w:uiPriority w:val="99"/>
    <w:rsid w:val="00C601E2"/>
    <w:pPr>
      <w:spacing w:line="241" w:lineRule="atLeast"/>
    </w:pPr>
    <w:rPr>
      <w:rFonts w:cstheme="minorBidi"/>
      <w:color w:val="auto"/>
    </w:rPr>
  </w:style>
  <w:style w:type="character" w:customStyle="1" w:styleId="A0">
    <w:name w:val="A0"/>
    <w:uiPriority w:val="99"/>
    <w:rsid w:val="00C601E2"/>
    <w:rPr>
      <w:rFonts w:cs="ITC Officina Sans Book"/>
      <w:b/>
      <w:bCs/>
      <w:color w:val="000000"/>
      <w:sz w:val="51"/>
      <w:szCs w:val="51"/>
    </w:rPr>
  </w:style>
  <w:style w:type="character" w:customStyle="1" w:styleId="A1">
    <w:name w:val="A1"/>
    <w:uiPriority w:val="99"/>
    <w:rsid w:val="00C601E2"/>
    <w:rPr>
      <w:rFonts w:cs="ITC Officina Sans Book"/>
      <w:color w:val="000000"/>
      <w:sz w:val="29"/>
      <w:szCs w:val="29"/>
    </w:rPr>
  </w:style>
  <w:style w:type="paragraph" w:customStyle="1" w:styleId="Pa6">
    <w:name w:val="Pa6"/>
    <w:basedOn w:val="Default"/>
    <w:next w:val="Default"/>
    <w:uiPriority w:val="99"/>
    <w:rsid w:val="000544BF"/>
    <w:pPr>
      <w:spacing w:line="241" w:lineRule="atLeast"/>
    </w:pPr>
    <w:rPr>
      <w:rFonts w:cstheme="minorBidi"/>
      <w:color w:val="auto"/>
    </w:rPr>
  </w:style>
  <w:style w:type="character" w:customStyle="1" w:styleId="A5">
    <w:name w:val="A5"/>
    <w:uiPriority w:val="99"/>
    <w:rsid w:val="000544BF"/>
    <w:rPr>
      <w:rFonts w:cs="ITC Officina Sans Book"/>
      <w:color w:val="000000"/>
      <w:sz w:val="20"/>
      <w:szCs w:val="20"/>
    </w:rPr>
  </w:style>
  <w:style w:type="paragraph" w:customStyle="1" w:styleId="Pa39">
    <w:name w:val="Pa39"/>
    <w:basedOn w:val="Default"/>
    <w:next w:val="Default"/>
    <w:uiPriority w:val="99"/>
    <w:rsid w:val="000544BF"/>
    <w:pPr>
      <w:spacing w:line="201" w:lineRule="atLeast"/>
    </w:pPr>
    <w:rPr>
      <w:rFonts w:cstheme="minorBidi"/>
      <w:color w:val="auto"/>
    </w:rPr>
  </w:style>
  <w:style w:type="character" w:customStyle="1" w:styleId="Heading1Char">
    <w:name w:val="Heading 1 Char"/>
    <w:basedOn w:val="DefaultParagraphFont"/>
    <w:link w:val="Heading1"/>
    <w:uiPriority w:val="9"/>
    <w:rsid w:val="009265E3"/>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9A52D6"/>
    <w:rPr>
      <w:color w:val="800080" w:themeColor="followedHyperlink"/>
      <w:u w:val="single"/>
    </w:rPr>
  </w:style>
  <w:style w:type="character" w:customStyle="1" w:styleId="apple-converted-space">
    <w:name w:val="apple-converted-space"/>
    <w:basedOn w:val="DefaultParagraphFont"/>
    <w:rsid w:val="009A52D6"/>
  </w:style>
  <w:style w:type="character" w:customStyle="1" w:styleId="A3">
    <w:name w:val="A3"/>
    <w:uiPriority w:val="99"/>
    <w:rsid w:val="002160C3"/>
    <w:rPr>
      <w:rFonts w:cs="Gill Sans MT"/>
      <w:color w:val="000000"/>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11E"/>
  </w:style>
  <w:style w:type="paragraph" w:styleId="Heading1">
    <w:name w:val="heading 1"/>
    <w:basedOn w:val="Normal"/>
    <w:next w:val="Normal"/>
    <w:link w:val="Heading1Char"/>
    <w:uiPriority w:val="9"/>
    <w:qFormat/>
    <w:rsid w:val="009265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21C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21C2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1C2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21C2D"/>
    <w:rPr>
      <w:rFonts w:ascii="Times New Roman" w:eastAsia="Times New Roman" w:hAnsi="Times New Roman" w:cs="Times New Roman"/>
      <w:b/>
      <w:bCs/>
      <w:sz w:val="24"/>
      <w:szCs w:val="24"/>
    </w:rPr>
  </w:style>
  <w:style w:type="character" w:styleId="Emphasis">
    <w:name w:val="Emphasis"/>
    <w:basedOn w:val="DefaultParagraphFont"/>
    <w:uiPriority w:val="20"/>
    <w:qFormat/>
    <w:rsid w:val="00721C2D"/>
    <w:rPr>
      <w:i/>
      <w:iCs/>
    </w:rPr>
  </w:style>
  <w:style w:type="character" w:styleId="Hyperlink">
    <w:name w:val="Hyperlink"/>
    <w:basedOn w:val="DefaultParagraphFont"/>
    <w:uiPriority w:val="99"/>
    <w:unhideWhenUsed/>
    <w:rsid w:val="00721C2D"/>
    <w:rPr>
      <w:color w:val="0000FF"/>
      <w:u w:val="single"/>
    </w:rPr>
  </w:style>
  <w:style w:type="character" w:customStyle="1" w:styleId="rubric">
    <w:name w:val="rubric"/>
    <w:basedOn w:val="DefaultParagraphFont"/>
    <w:rsid w:val="00721C2D"/>
  </w:style>
  <w:style w:type="character" w:customStyle="1" w:styleId="definition">
    <w:name w:val="definition"/>
    <w:basedOn w:val="DefaultParagraphFont"/>
    <w:rsid w:val="00721C2D"/>
  </w:style>
  <w:style w:type="character" w:customStyle="1" w:styleId="doctype">
    <w:name w:val="doctype"/>
    <w:basedOn w:val="DefaultParagraphFont"/>
    <w:rsid w:val="00721C2D"/>
  </w:style>
  <w:style w:type="paragraph" w:styleId="NormalWeb">
    <w:name w:val="Normal (Web)"/>
    <w:basedOn w:val="Normal"/>
    <w:uiPriority w:val="99"/>
    <w:semiHidden/>
    <w:unhideWhenUsed/>
    <w:rsid w:val="00721C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
    <w:name w:val="small"/>
    <w:basedOn w:val="DefaultParagraphFont"/>
    <w:rsid w:val="00721C2D"/>
  </w:style>
  <w:style w:type="character" w:customStyle="1" w:styleId="citation">
    <w:name w:val="citation"/>
    <w:basedOn w:val="DefaultParagraphFont"/>
    <w:rsid w:val="00721C2D"/>
  </w:style>
  <w:style w:type="character" w:styleId="HTMLCite">
    <w:name w:val="HTML Cite"/>
    <w:basedOn w:val="DefaultParagraphFont"/>
    <w:uiPriority w:val="99"/>
    <w:semiHidden/>
    <w:unhideWhenUsed/>
    <w:rsid w:val="00721C2D"/>
    <w:rPr>
      <w:i/>
      <w:iCs/>
    </w:rPr>
  </w:style>
  <w:style w:type="character" w:styleId="Strong">
    <w:name w:val="Strong"/>
    <w:basedOn w:val="DefaultParagraphFont"/>
    <w:uiPriority w:val="22"/>
    <w:qFormat/>
    <w:rsid w:val="00721C2D"/>
    <w:rPr>
      <w:b/>
      <w:bCs/>
    </w:rPr>
  </w:style>
  <w:style w:type="paragraph" w:styleId="BalloonText">
    <w:name w:val="Balloon Text"/>
    <w:basedOn w:val="Normal"/>
    <w:link w:val="BalloonTextChar"/>
    <w:uiPriority w:val="99"/>
    <w:semiHidden/>
    <w:unhideWhenUsed/>
    <w:rsid w:val="00721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C2D"/>
    <w:rPr>
      <w:rFonts w:ascii="Tahoma" w:hAnsi="Tahoma" w:cs="Tahoma"/>
      <w:sz w:val="16"/>
      <w:szCs w:val="16"/>
    </w:rPr>
  </w:style>
  <w:style w:type="character" w:customStyle="1" w:styleId="highlight">
    <w:name w:val="highlight"/>
    <w:basedOn w:val="DefaultParagraphFont"/>
    <w:rsid w:val="00C601E2"/>
  </w:style>
  <w:style w:type="character" w:customStyle="1" w:styleId="additionalfields">
    <w:name w:val="additionalfields"/>
    <w:basedOn w:val="DefaultParagraphFont"/>
    <w:rsid w:val="00C601E2"/>
  </w:style>
  <w:style w:type="character" w:customStyle="1" w:styleId="label">
    <w:name w:val="label"/>
    <w:basedOn w:val="DefaultParagraphFont"/>
    <w:rsid w:val="00C601E2"/>
  </w:style>
  <w:style w:type="paragraph" w:customStyle="1" w:styleId="Default">
    <w:name w:val="Default"/>
    <w:rsid w:val="00C601E2"/>
    <w:pPr>
      <w:autoSpaceDE w:val="0"/>
      <w:autoSpaceDN w:val="0"/>
      <w:adjustRightInd w:val="0"/>
      <w:spacing w:after="0" w:line="240" w:lineRule="auto"/>
    </w:pPr>
    <w:rPr>
      <w:rFonts w:ascii="ITC Officina Sans Book" w:hAnsi="ITC Officina Sans Book" w:cs="ITC Officina Sans Book"/>
      <w:color w:val="000000"/>
      <w:sz w:val="24"/>
      <w:szCs w:val="24"/>
    </w:rPr>
  </w:style>
  <w:style w:type="paragraph" w:customStyle="1" w:styleId="Pa0">
    <w:name w:val="Pa0"/>
    <w:basedOn w:val="Default"/>
    <w:next w:val="Default"/>
    <w:uiPriority w:val="99"/>
    <w:rsid w:val="00C601E2"/>
    <w:pPr>
      <w:spacing w:line="241" w:lineRule="atLeast"/>
    </w:pPr>
    <w:rPr>
      <w:rFonts w:cstheme="minorBidi"/>
      <w:color w:val="auto"/>
    </w:rPr>
  </w:style>
  <w:style w:type="character" w:customStyle="1" w:styleId="A0">
    <w:name w:val="A0"/>
    <w:uiPriority w:val="99"/>
    <w:rsid w:val="00C601E2"/>
    <w:rPr>
      <w:rFonts w:cs="ITC Officina Sans Book"/>
      <w:b/>
      <w:bCs/>
      <w:color w:val="000000"/>
      <w:sz w:val="51"/>
      <w:szCs w:val="51"/>
    </w:rPr>
  </w:style>
  <w:style w:type="character" w:customStyle="1" w:styleId="A1">
    <w:name w:val="A1"/>
    <w:uiPriority w:val="99"/>
    <w:rsid w:val="00C601E2"/>
    <w:rPr>
      <w:rFonts w:cs="ITC Officina Sans Book"/>
      <w:color w:val="000000"/>
      <w:sz w:val="29"/>
      <w:szCs w:val="29"/>
    </w:rPr>
  </w:style>
  <w:style w:type="paragraph" w:customStyle="1" w:styleId="Pa6">
    <w:name w:val="Pa6"/>
    <w:basedOn w:val="Default"/>
    <w:next w:val="Default"/>
    <w:uiPriority w:val="99"/>
    <w:rsid w:val="000544BF"/>
    <w:pPr>
      <w:spacing w:line="241" w:lineRule="atLeast"/>
    </w:pPr>
    <w:rPr>
      <w:rFonts w:cstheme="minorBidi"/>
      <w:color w:val="auto"/>
    </w:rPr>
  </w:style>
  <w:style w:type="character" w:customStyle="1" w:styleId="A5">
    <w:name w:val="A5"/>
    <w:uiPriority w:val="99"/>
    <w:rsid w:val="000544BF"/>
    <w:rPr>
      <w:rFonts w:cs="ITC Officina Sans Book"/>
      <w:color w:val="000000"/>
      <w:sz w:val="20"/>
      <w:szCs w:val="20"/>
    </w:rPr>
  </w:style>
  <w:style w:type="paragraph" w:customStyle="1" w:styleId="Pa39">
    <w:name w:val="Pa39"/>
    <w:basedOn w:val="Default"/>
    <w:next w:val="Default"/>
    <w:uiPriority w:val="99"/>
    <w:rsid w:val="000544BF"/>
    <w:pPr>
      <w:spacing w:line="201" w:lineRule="atLeast"/>
    </w:pPr>
    <w:rPr>
      <w:rFonts w:cstheme="minorBidi"/>
      <w:color w:val="auto"/>
    </w:rPr>
  </w:style>
  <w:style w:type="character" w:customStyle="1" w:styleId="Heading1Char">
    <w:name w:val="Heading 1 Char"/>
    <w:basedOn w:val="DefaultParagraphFont"/>
    <w:link w:val="Heading1"/>
    <w:uiPriority w:val="9"/>
    <w:rsid w:val="009265E3"/>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9A52D6"/>
    <w:rPr>
      <w:color w:val="800080" w:themeColor="followedHyperlink"/>
      <w:u w:val="single"/>
    </w:rPr>
  </w:style>
  <w:style w:type="character" w:customStyle="1" w:styleId="apple-converted-space">
    <w:name w:val="apple-converted-space"/>
    <w:basedOn w:val="DefaultParagraphFont"/>
    <w:rsid w:val="009A52D6"/>
  </w:style>
  <w:style w:type="character" w:customStyle="1" w:styleId="A3">
    <w:name w:val="A3"/>
    <w:uiPriority w:val="99"/>
    <w:rsid w:val="002160C3"/>
    <w:rPr>
      <w:rFonts w:cs="Gill Sans MT"/>
      <w:color w:val="000000"/>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0035">
      <w:bodyDiv w:val="1"/>
      <w:marLeft w:val="0"/>
      <w:marRight w:val="0"/>
      <w:marTop w:val="0"/>
      <w:marBottom w:val="0"/>
      <w:divBdr>
        <w:top w:val="none" w:sz="0" w:space="0" w:color="auto"/>
        <w:left w:val="none" w:sz="0" w:space="0" w:color="auto"/>
        <w:bottom w:val="none" w:sz="0" w:space="0" w:color="auto"/>
        <w:right w:val="none" w:sz="0" w:space="0" w:color="auto"/>
      </w:divBdr>
    </w:div>
    <w:div w:id="242030687">
      <w:bodyDiv w:val="1"/>
      <w:marLeft w:val="0"/>
      <w:marRight w:val="0"/>
      <w:marTop w:val="0"/>
      <w:marBottom w:val="0"/>
      <w:divBdr>
        <w:top w:val="none" w:sz="0" w:space="0" w:color="auto"/>
        <w:left w:val="none" w:sz="0" w:space="0" w:color="auto"/>
        <w:bottom w:val="none" w:sz="0" w:space="0" w:color="auto"/>
        <w:right w:val="none" w:sz="0" w:space="0" w:color="auto"/>
      </w:divBdr>
    </w:div>
    <w:div w:id="258030095">
      <w:bodyDiv w:val="1"/>
      <w:marLeft w:val="0"/>
      <w:marRight w:val="0"/>
      <w:marTop w:val="0"/>
      <w:marBottom w:val="0"/>
      <w:divBdr>
        <w:top w:val="none" w:sz="0" w:space="0" w:color="auto"/>
        <w:left w:val="none" w:sz="0" w:space="0" w:color="auto"/>
        <w:bottom w:val="none" w:sz="0" w:space="0" w:color="auto"/>
        <w:right w:val="none" w:sz="0" w:space="0" w:color="auto"/>
      </w:divBdr>
    </w:div>
    <w:div w:id="488139129">
      <w:bodyDiv w:val="1"/>
      <w:marLeft w:val="0"/>
      <w:marRight w:val="0"/>
      <w:marTop w:val="0"/>
      <w:marBottom w:val="0"/>
      <w:divBdr>
        <w:top w:val="none" w:sz="0" w:space="0" w:color="auto"/>
        <w:left w:val="none" w:sz="0" w:space="0" w:color="auto"/>
        <w:bottom w:val="none" w:sz="0" w:space="0" w:color="auto"/>
        <w:right w:val="none" w:sz="0" w:space="0" w:color="auto"/>
      </w:divBdr>
      <w:divsChild>
        <w:div w:id="379136714">
          <w:marLeft w:val="0"/>
          <w:marRight w:val="0"/>
          <w:marTop w:val="0"/>
          <w:marBottom w:val="0"/>
          <w:divBdr>
            <w:top w:val="none" w:sz="0" w:space="0" w:color="auto"/>
            <w:left w:val="none" w:sz="0" w:space="0" w:color="auto"/>
            <w:bottom w:val="none" w:sz="0" w:space="0" w:color="auto"/>
            <w:right w:val="none" w:sz="0" w:space="0" w:color="auto"/>
          </w:divBdr>
          <w:divsChild>
            <w:div w:id="1437019513">
              <w:marLeft w:val="0"/>
              <w:marRight w:val="0"/>
              <w:marTop w:val="0"/>
              <w:marBottom w:val="0"/>
              <w:divBdr>
                <w:top w:val="none" w:sz="0" w:space="0" w:color="auto"/>
                <w:left w:val="none" w:sz="0" w:space="0" w:color="auto"/>
                <w:bottom w:val="none" w:sz="0" w:space="0" w:color="auto"/>
                <w:right w:val="none" w:sz="0" w:space="0" w:color="auto"/>
              </w:divBdr>
              <w:divsChild>
                <w:div w:id="18032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200976">
      <w:bodyDiv w:val="1"/>
      <w:marLeft w:val="0"/>
      <w:marRight w:val="0"/>
      <w:marTop w:val="0"/>
      <w:marBottom w:val="0"/>
      <w:divBdr>
        <w:top w:val="none" w:sz="0" w:space="0" w:color="auto"/>
        <w:left w:val="none" w:sz="0" w:space="0" w:color="auto"/>
        <w:bottom w:val="none" w:sz="0" w:space="0" w:color="auto"/>
        <w:right w:val="none" w:sz="0" w:space="0" w:color="auto"/>
      </w:divBdr>
      <w:divsChild>
        <w:div w:id="964238290">
          <w:marLeft w:val="0"/>
          <w:marRight w:val="0"/>
          <w:marTop w:val="0"/>
          <w:marBottom w:val="0"/>
          <w:divBdr>
            <w:top w:val="none" w:sz="0" w:space="0" w:color="auto"/>
            <w:left w:val="none" w:sz="0" w:space="0" w:color="auto"/>
            <w:bottom w:val="none" w:sz="0" w:space="0" w:color="auto"/>
            <w:right w:val="none" w:sz="0" w:space="0" w:color="auto"/>
          </w:divBdr>
        </w:div>
        <w:div w:id="1216817180">
          <w:marLeft w:val="0"/>
          <w:marRight w:val="0"/>
          <w:marTop w:val="0"/>
          <w:marBottom w:val="0"/>
          <w:divBdr>
            <w:top w:val="none" w:sz="0" w:space="0" w:color="auto"/>
            <w:left w:val="none" w:sz="0" w:space="0" w:color="auto"/>
            <w:bottom w:val="none" w:sz="0" w:space="0" w:color="auto"/>
            <w:right w:val="none" w:sz="0" w:space="0" w:color="auto"/>
          </w:divBdr>
        </w:div>
        <w:div w:id="250820189">
          <w:marLeft w:val="0"/>
          <w:marRight w:val="0"/>
          <w:marTop w:val="0"/>
          <w:marBottom w:val="0"/>
          <w:divBdr>
            <w:top w:val="none" w:sz="0" w:space="0" w:color="auto"/>
            <w:left w:val="none" w:sz="0" w:space="0" w:color="auto"/>
            <w:bottom w:val="none" w:sz="0" w:space="0" w:color="auto"/>
            <w:right w:val="none" w:sz="0" w:space="0" w:color="auto"/>
          </w:divBdr>
          <w:divsChild>
            <w:div w:id="11721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11878">
      <w:bodyDiv w:val="1"/>
      <w:marLeft w:val="0"/>
      <w:marRight w:val="0"/>
      <w:marTop w:val="0"/>
      <w:marBottom w:val="0"/>
      <w:divBdr>
        <w:top w:val="none" w:sz="0" w:space="0" w:color="auto"/>
        <w:left w:val="none" w:sz="0" w:space="0" w:color="auto"/>
        <w:bottom w:val="none" w:sz="0" w:space="0" w:color="auto"/>
        <w:right w:val="none" w:sz="0" w:space="0" w:color="auto"/>
      </w:divBdr>
    </w:div>
    <w:div w:id="646207614">
      <w:bodyDiv w:val="1"/>
      <w:marLeft w:val="0"/>
      <w:marRight w:val="0"/>
      <w:marTop w:val="0"/>
      <w:marBottom w:val="0"/>
      <w:divBdr>
        <w:top w:val="none" w:sz="0" w:space="0" w:color="auto"/>
        <w:left w:val="none" w:sz="0" w:space="0" w:color="auto"/>
        <w:bottom w:val="none" w:sz="0" w:space="0" w:color="auto"/>
        <w:right w:val="none" w:sz="0" w:space="0" w:color="auto"/>
      </w:divBdr>
      <w:divsChild>
        <w:div w:id="2102796234">
          <w:marLeft w:val="0"/>
          <w:marRight w:val="0"/>
          <w:marTop w:val="0"/>
          <w:marBottom w:val="0"/>
          <w:divBdr>
            <w:top w:val="none" w:sz="0" w:space="0" w:color="auto"/>
            <w:left w:val="none" w:sz="0" w:space="0" w:color="auto"/>
            <w:bottom w:val="none" w:sz="0" w:space="0" w:color="auto"/>
            <w:right w:val="none" w:sz="0" w:space="0" w:color="auto"/>
          </w:divBdr>
        </w:div>
      </w:divsChild>
    </w:div>
    <w:div w:id="724569772">
      <w:bodyDiv w:val="1"/>
      <w:marLeft w:val="0"/>
      <w:marRight w:val="0"/>
      <w:marTop w:val="0"/>
      <w:marBottom w:val="0"/>
      <w:divBdr>
        <w:top w:val="none" w:sz="0" w:space="0" w:color="auto"/>
        <w:left w:val="none" w:sz="0" w:space="0" w:color="auto"/>
        <w:bottom w:val="none" w:sz="0" w:space="0" w:color="auto"/>
        <w:right w:val="none" w:sz="0" w:space="0" w:color="auto"/>
      </w:divBdr>
      <w:divsChild>
        <w:div w:id="1527326158">
          <w:marLeft w:val="821"/>
          <w:marRight w:val="0"/>
          <w:marTop w:val="116"/>
          <w:marBottom w:val="0"/>
          <w:divBdr>
            <w:top w:val="none" w:sz="0" w:space="0" w:color="auto"/>
            <w:left w:val="none" w:sz="0" w:space="0" w:color="auto"/>
            <w:bottom w:val="none" w:sz="0" w:space="0" w:color="auto"/>
            <w:right w:val="none" w:sz="0" w:space="0" w:color="auto"/>
          </w:divBdr>
        </w:div>
        <w:div w:id="1362514375">
          <w:marLeft w:val="821"/>
          <w:marRight w:val="0"/>
          <w:marTop w:val="116"/>
          <w:marBottom w:val="0"/>
          <w:divBdr>
            <w:top w:val="none" w:sz="0" w:space="0" w:color="auto"/>
            <w:left w:val="none" w:sz="0" w:space="0" w:color="auto"/>
            <w:bottom w:val="none" w:sz="0" w:space="0" w:color="auto"/>
            <w:right w:val="none" w:sz="0" w:space="0" w:color="auto"/>
          </w:divBdr>
        </w:div>
        <w:div w:id="1564363996">
          <w:marLeft w:val="821"/>
          <w:marRight w:val="0"/>
          <w:marTop w:val="116"/>
          <w:marBottom w:val="0"/>
          <w:divBdr>
            <w:top w:val="none" w:sz="0" w:space="0" w:color="auto"/>
            <w:left w:val="none" w:sz="0" w:space="0" w:color="auto"/>
            <w:bottom w:val="none" w:sz="0" w:space="0" w:color="auto"/>
            <w:right w:val="none" w:sz="0" w:space="0" w:color="auto"/>
          </w:divBdr>
        </w:div>
        <w:div w:id="827791263">
          <w:marLeft w:val="821"/>
          <w:marRight w:val="0"/>
          <w:marTop w:val="116"/>
          <w:marBottom w:val="0"/>
          <w:divBdr>
            <w:top w:val="none" w:sz="0" w:space="0" w:color="auto"/>
            <w:left w:val="none" w:sz="0" w:space="0" w:color="auto"/>
            <w:bottom w:val="none" w:sz="0" w:space="0" w:color="auto"/>
            <w:right w:val="none" w:sz="0" w:space="0" w:color="auto"/>
          </w:divBdr>
        </w:div>
      </w:divsChild>
    </w:div>
    <w:div w:id="945651367">
      <w:bodyDiv w:val="1"/>
      <w:marLeft w:val="0"/>
      <w:marRight w:val="0"/>
      <w:marTop w:val="0"/>
      <w:marBottom w:val="0"/>
      <w:divBdr>
        <w:top w:val="none" w:sz="0" w:space="0" w:color="auto"/>
        <w:left w:val="none" w:sz="0" w:space="0" w:color="auto"/>
        <w:bottom w:val="none" w:sz="0" w:space="0" w:color="auto"/>
        <w:right w:val="none" w:sz="0" w:space="0" w:color="auto"/>
      </w:divBdr>
      <w:divsChild>
        <w:div w:id="1126122078">
          <w:marLeft w:val="0"/>
          <w:marRight w:val="0"/>
          <w:marTop w:val="0"/>
          <w:marBottom w:val="0"/>
          <w:divBdr>
            <w:top w:val="none" w:sz="0" w:space="0" w:color="auto"/>
            <w:left w:val="none" w:sz="0" w:space="0" w:color="auto"/>
            <w:bottom w:val="none" w:sz="0" w:space="0" w:color="auto"/>
            <w:right w:val="none" w:sz="0" w:space="0" w:color="auto"/>
          </w:divBdr>
          <w:divsChild>
            <w:div w:id="1358387485">
              <w:marLeft w:val="0"/>
              <w:marRight w:val="0"/>
              <w:marTop w:val="0"/>
              <w:marBottom w:val="0"/>
              <w:divBdr>
                <w:top w:val="none" w:sz="0" w:space="0" w:color="auto"/>
                <w:left w:val="none" w:sz="0" w:space="0" w:color="auto"/>
                <w:bottom w:val="none" w:sz="0" w:space="0" w:color="auto"/>
                <w:right w:val="none" w:sz="0" w:space="0" w:color="auto"/>
              </w:divBdr>
              <w:divsChild>
                <w:div w:id="55123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257528">
      <w:bodyDiv w:val="1"/>
      <w:marLeft w:val="0"/>
      <w:marRight w:val="0"/>
      <w:marTop w:val="0"/>
      <w:marBottom w:val="0"/>
      <w:divBdr>
        <w:top w:val="none" w:sz="0" w:space="0" w:color="auto"/>
        <w:left w:val="none" w:sz="0" w:space="0" w:color="auto"/>
        <w:bottom w:val="none" w:sz="0" w:space="0" w:color="auto"/>
        <w:right w:val="none" w:sz="0" w:space="0" w:color="auto"/>
      </w:divBdr>
    </w:div>
    <w:div w:id="1090082505">
      <w:bodyDiv w:val="1"/>
      <w:marLeft w:val="0"/>
      <w:marRight w:val="0"/>
      <w:marTop w:val="0"/>
      <w:marBottom w:val="0"/>
      <w:divBdr>
        <w:top w:val="none" w:sz="0" w:space="0" w:color="auto"/>
        <w:left w:val="none" w:sz="0" w:space="0" w:color="auto"/>
        <w:bottom w:val="none" w:sz="0" w:space="0" w:color="auto"/>
        <w:right w:val="none" w:sz="0" w:space="0" w:color="auto"/>
      </w:divBdr>
      <w:divsChild>
        <w:div w:id="267547574">
          <w:marLeft w:val="0"/>
          <w:marRight w:val="0"/>
          <w:marTop w:val="0"/>
          <w:marBottom w:val="0"/>
          <w:divBdr>
            <w:top w:val="none" w:sz="0" w:space="0" w:color="auto"/>
            <w:left w:val="none" w:sz="0" w:space="0" w:color="auto"/>
            <w:bottom w:val="none" w:sz="0" w:space="0" w:color="auto"/>
            <w:right w:val="none" w:sz="0" w:space="0" w:color="auto"/>
          </w:divBdr>
        </w:div>
        <w:div w:id="983236780">
          <w:marLeft w:val="0"/>
          <w:marRight w:val="0"/>
          <w:marTop w:val="0"/>
          <w:marBottom w:val="0"/>
          <w:divBdr>
            <w:top w:val="none" w:sz="0" w:space="0" w:color="auto"/>
            <w:left w:val="none" w:sz="0" w:space="0" w:color="auto"/>
            <w:bottom w:val="none" w:sz="0" w:space="0" w:color="auto"/>
            <w:right w:val="none" w:sz="0" w:space="0" w:color="auto"/>
          </w:divBdr>
        </w:div>
      </w:divsChild>
    </w:div>
    <w:div w:id="1126697070">
      <w:bodyDiv w:val="1"/>
      <w:marLeft w:val="0"/>
      <w:marRight w:val="0"/>
      <w:marTop w:val="0"/>
      <w:marBottom w:val="0"/>
      <w:divBdr>
        <w:top w:val="none" w:sz="0" w:space="0" w:color="auto"/>
        <w:left w:val="none" w:sz="0" w:space="0" w:color="auto"/>
        <w:bottom w:val="none" w:sz="0" w:space="0" w:color="auto"/>
        <w:right w:val="none" w:sz="0" w:space="0" w:color="auto"/>
      </w:divBdr>
    </w:div>
    <w:div w:id="1331299067">
      <w:bodyDiv w:val="1"/>
      <w:marLeft w:val="0"/>
      <w:marRight w:val="0"/>
      <w:marTop w:val="0"/>
      <w:marBottom w:val="0"/>
      <w:divBdr>
        <w:top w:val="none" w:sz="0" w:space="0" w:color="auto"/>
        <w:left w:val="none" w:sz="0" w:space="0" w:color="auto"/>
        <w:bottom w:val="none" w:sz="0" w:space="0" w:color="auto"/>
        <w:right w:val="none" w:sz="0" w:space="0" w:color="auto"/>
      </w:divBdr>
      <w:divsChild>
        <w:div w:id="907567977">
          <w:marLeft w:val="0"/>
          <w:marRight w:val="0"/>
          <w:marTop w:val="0"/>
          <w:marBottom w:val="0"/>
          <w:divBdr>
            <w:top w:val="none" w:sz="0" w:space="0" w:color="auto"/>
            <w:left w:val="none" w:sz="0" w:space="0" w:color="auto"/>
            <w:bottom w:val="none" w:sz="0" w:space="0" w:color="auto"/>
            <w:right w:val="none" w:sz="0" w:space="0" w:color="auto"/>
          </w:divBdr>
          <w:divsChild>
            <w:div w:id="2078703139">
              <w:marLeft w:val="0"/>
              <w:marRight w:val="0"/>
              <w:marTop w:val="0"/>
              <w:marBottom w:val="0"/>
              <w:divBdr>
                <w:top w:val="none" w:sz="0" w:space="0" w:color="auto"/>
                <w:left w:val="none" w:sz="0" w:space="0" w:color="auto"/>
                <w:bottom w:val="none" w:sz="0" w:space="0" w:color="auto"/>
                <w:right w:val="none" w:sz="0" w:space="0" w:color="auto"/>
              </w:divBdr>
              <w:divsChild>
                <w:div w:id="805314081">
                  <w:marLeft w:val="0"/>
                  <w:marRight w:val="0"/>
                  <w:marTop w:val="0"/>
                  <w:marBottom w:val="0"/>
                  <w:divBdr>
                    <w:top w:val="none" w:sz="0" w:space="0" w:color="auto"/>
                    <w:left w:val="none" w:sz="0" w:space="0" w:color="auto"/>
                    <w:bottom w:val="none" w:sz="0" w:space="0" w:color="auto"/>
                    <w:right w:val="none" w:sz="0" w:space="0" w:color="auto"/>
                  </w:divBdr>
                  <w:divsChild>
                    <w:div w:id="183646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487429">
      <w:bodyDiv w:val="1"/>
      <w:marLeft w:val="0"/>
      <w:marRight w:val="0"/>
      <w:marTop w:val="0"/>
      <w:marBottom w:val="0"/>
      <w:divBdr>
        <w:top w:val="none" w:sz="0" w:space="0" w:color="auto"/>
        <w:left w:val="none" w:sz="0" w:space="0" w:color="auto"/>
        <w:bottom w:val="none" w:sz="0" w:space="0" w:color="auto"/>
        <w:right w:val="none" w:sz="0" w:space="0" w:color="auto"/>
      </w:divBdr>
    </w:div>
    <w:div w:id="1497958161">
      <w:bodyDiv w:val="1"/>
      <w:marLeft w:val="0"/>
      <w:marRight w:val="0"/>
      <w:marTop w:val="0"/>
      <w:marBottom w:val="0"/>
      <w:divBdr>
        <w:top w:val="none" w:sz="0" w:space="0" w:color="auto"/>
        <w:left w:val="none" w:sz="0" w:space="0" w:color="auto"/>
        <w:bottom w:val="none" w:sz="0" w:space="0" w:color="auto"/>
        <w:right w:val="none" w:sz="0" w:space="0" w:color="auto"/>
      </w:divBdr>
    </w:div>
    <w:div w:id="1546674053">
      <w:bodyDiv w:val="1"/>
      <w:marLeft w:val="0"/>
      <w:marRight w:val="0"/>
      <w:marTop w:val="0"/>
      <w:marBottom w:val="0"/>
      <w:divBdr>
        <w:top w:val="none" w:sz="0" w:space="0" w:color="auto"/>
        <w:left w:val="none" w:sz="0" w:space="0" w:color="auto"/>
        <w:bottom w:val="none" w:sz="0" w:space="0" w:color="auto"/>
        <w:right w:val="none" w:sz="0" w:space="0" w:color="auto"/>
      </w:divBdr>
    </w:div>
    <w:div w:id="1583369134">
      <w:bodyDiv w:val="1"/>
      <w:marLeft w:val="0"/>
      <w:marRight w:val="0"/>
      <w:marTop w:val="0"/>
      <w:marBottom w:val="0"/>
      <w:divBdr>
        <w:top w:val="none" w:sz="0" w:space="0" w:color="auto"/>
        <w:left w:val="none" w:sz="0" w:space="0" w:color="auto"/>
        <w:bottom w:val="none" w:sz="0" w:space="0" w:color="auto"/>
        <w:right w:val="none" w:sz="0" w:space="0" w:color="auto"/>
      </w:divBdr>
    </w:div>
    <w:div w:id="1616518736">
      <w:bodyDiv w:val="1"/>
      <w:marLeft w:val="0"/>
      <w:marRight w:val="0"/>
      <w:marTop w:val="0"/>
      <w:marBottom w:val="0"/>
      <w:divBdr>
        <w:top w:val="none" w:sz="0" w:space="0" w:color="auto"/>
        <w:left w:val="none" w:sz="0" w:space="0" w:color="auto"/>
        <w:bottom w:val="none" w:sz="0" w:space="0" w:color="auto"/>
        <w:right w:val="none" w:sz="0" w:space="0" w:color="auto"/>
      </w:divBdr>
      <w:divsChild>
        <w:div w:id="426390761">
          <w:marLeft w:val="0"/>
          <w:marRight w:val="0"/>
          <w:marTop w:val="0"/>
          <w:marBottom w:val="0"/>
          <w:divBdr>
            <w:top w:val="none" w:sz="0" w:space="0" w:color="auto"/>
            <w:left w:val="none" w:sz="0" w:space="0" w:color="auto"/>
            <w:bottom w:val="none" w:sz="0" w:space="0" w:color="auto"/>
            <w:right w:val="none" w:sz="0" w:space="0" w:color="auto"/>
          </w:divBdr>
        </w:div>
      </w:divsChild>
    </w:div>
    <w:div w:id="1739863402">
      <w:bodyDiv w:val="1"/>
      <w:marLeft w:val="0"/>
      <w:marRight w:val="0"/>
      <w:marTop w:val="0"/>
      <w:marBottom w:val="0"/>
      <w:divBdr>
        <w:top w:val="none" w:sz="0" w:space="0" w:color="auto"/>
        <w:left w:val="none" w:sz="0" w:space="0" w:color="auto"/>
        <w:bottom w:val="none" w:sz="0" w:space="0" w:color="auto"/>
        <w:right w:val="none" w:sz="0" w:space="0" w:color="auto"/>
      </w:divBdr>
      <w:divsChild>
        <w:div w:id="1029331153">
          <w:marLeft w:val="0"/>
          <w:marRight w:val="0"/>
          <w:marTop w:val="0"/>
          <w:marBottom w:val="0"/>
          <w:divBdr>
            <w:top w:val="none" w:sz="0" w:space="0" w:color="auto"/>
            <w:left w:val="none" w:sz="0" w:space="0" w:color="auto"/>
            <w:bottom w:val="none" w:sz="0" w:space="0" w:color="auto"/>
            <w:right w:val="none" w:sz="0" w:space="0" w:color="auto"/>
          </w:divBdr>
        </w:div>
      </w:divsChild>
    </w:div>
    <w:div w:id="1788625391">
      <w:bodyDiv w:val="1"/>
      <w:marLeft w:val="0"/>
      <w:marRight w:val="0"/>
      <w:marTop w:val="0"/>
      <w:marBottom w:val="0"/>
      <w:divBdr>
        <w:top w:val="none" w:sz="0" w:space="0" w:color="auto"/>
        <w:left w:val="none" w:sz="0" w:space="0" w:color="auto"/>
        <w:bottom w:val="none" w:sz="0" w:space="0" w:color="auto"/>
        <w:right w:val="none" w:sz="0" w:space="0" w:color="auto"/>
      </w:divBdr>
    </w:div>
    <w:div w:id="1987320472">
      <w:bodyDiv w:val="1"/>
      <w:marLeft w:val="0"/>
      <w:marRight w:val="0"/>
      <w:marTop w:val="0"/>
      <w:marBottom w:val="0"/>
      <w:divBdr>
        <w:top w:val="none" w:sz="0" w:space="0" w:color="auto"/>
        <w:left w:val="none" w:sz="0" w:space="0" w:color="auto"/>
        <w:bottom w:val="none" w:sz="0" w:space="0" w:color="auto"/>
        <w:right w:val="none" w:sz="0" w:space="0" w:color="auto"/>
      </w:divBdr>
    </w:div>
    <w:div w:id="2125928477">
      <w:bodyDiv w:val="1"/>
      <w:marLeft w:val="0"/>
      <w:marRight w:val="0"/>
      <w:marTop w:val="0"/>
      <w:marBottom w:val="0"/>
      <w:divBdr>
        <w:top w:val="none" w:sz="0" w:space="0" w:color="auto"/>
        <w:left w:val="none" w:sz="0" w:space="0" w:color="auto"/>
        <w:bottom w:val="none" w:sz="0" w:space="0" w:color="auto"/>
        <w:right w:val="none" w:sz="0" w:space="0" w:color="auto"/>
      </w:divBdr>
      <w:divsChild>
        <w:div w:id="950622812">
          <w:marLeft w:val="0"/>
          <w:marRight w:val="0"/>
          <w:marTop w:val="0"/>
          <w:marBottom w:val="0"/>
          <w:divBdr>
            <w:top w:val="none" w:sz="0" w:space="0" w:color="auto"/>
            <w:left w:val="none" w:sz="0" w:space="0" w:color="auto"/>
            <w:bottom w:val="none" w:sz="0" w:space="0" w:color="auto"/>
            <w:right w:val="none" w:sz="0" w:space="0" w:color="auto"/>
          </w:divBdr>
          <w:divsChild>
            <w:div w:id="534543845">
              <w:marLeft w:val="0"/>
              <w:marRight w:val="0"/>
              <w:marTop w:val="0"/>
              <w:marBottom w:val="0"/>
              <w:divBdr>
                <w:top w:val="none" w:sz="0" w:space="0" w:color="auto"/>
                <w:left w:val="none" w:sz="0" w:space="0" w:color="auto"/>
                <w:bottom w:val="none" w:sz="0" w:space="0" w:color="auto"/>
                <w:right w:val="none" w:sz="0" w:space="0" w:color="auto"/>
              </w:divBdr>
            </w:div>
            <w:div w:id="1591348770">
              <w:marLeft w:val="0"/>
              <w:marRight w:val="0"/>
              <w:marTop w:val="0"/>
              <w:marBottom w:val="0"/>
              <w:divBdr>
                <w:top w:val="none" w:sz="0" w:space="0" w:color="auto"/>
                <w:left w:val="none" w:sz="0" w:space="0" w:color="auto"/>
                <w:bottom w:val="none" w:sz="0" w:space="0" w:color="auto"/>
                <w:right w:val="none" w:sz="0" w:space="0" w:color="auto"/>
              </w:divBdr>
            </w:div>
            <w:div w:id="999817280">
              <w:marLeft w:val="0"/>
              <w:marRight w:val="0"/>
              <w:marTop w:val="0"/>
              <w:marBottom w:val="0"/>
              <w:divBdr>
                <w:top w:val="none" w:sz="0" w:space="0" w:color="auto"/>
                <w:left w:val="none" w:sz="0" w:space="0" w:color="auto"/>
                <w:bottom w:val="none" w:sz="0" w:space="0" w:color="auto"/>
                <w:right w:val="none" w:sz="0" w:space="0" w:color="auto"/>
              </w:divBdr>
            </w:div>
            <w:div w:id="533465365">
              <w:marLeft w:val="0"/>
              <w:marRight w:val="0"/>
              <w:marTop w:val="0"/>
              <w:marBottom w:val="0"/>
              <w:divBdr>
                <w:top w:val="none" w:sz="0" w:space="0" w:color="auto"/>
                <w:left w:val="none" w:sz="0" w:space="0" w:color="auto"/>
                <w:bottom w:val="none" w:sz="0" w:space="0" w:color="auto"/>
                <w:right w:val="none" w:sz="0" w:space="0" w:color="auto"/>
              </w:divBdr>
            </w:div>
            <w:div w:id="1072316612">
              <w:marLeft w:val="0"/>
              <w:marRight w:val="0"/>
              <w:marTop w:val="0"/>
              <w:marBottom w:val="0"/>
              <w:divBdr>
                <w:top w:val="none" w:sz="0" w:space="0" w:color="auto"/>
                <w:left w:val="none" w:sz="0" w:space="0" w:color="auto"/>
                <w:bottom w:val="none" w:sz="0" w:space="0" w:color="auto"/>
                <w:right w:val="none" w:sz="0" w:space="0" w:color="auto"/>
              </w:divBdr>
            </w:div>
          </w:divsChild>
        </w:div>
        <w:div w:id="1502769289">
          <w:marLeft w:val="0"/>
          <w:marRight w:val="0"/>
          <w:marTop w:val="0"/>
          <w:marBottom w:val="0"/>
          <w:divBdr>
            <w:top w:val="none" w:sz="0" w:space="0" w:color="auto"/>
            <w:left w:val="none" w:sz="0" w:space="0" w:color="auto"/>
            <w:bottom w:val="none" w:sz="0" w:space="0" w:color="auto"/>
            <w:right w:val="none" w:sz="0" w:space="0" w:color="auto"/>
          </w:divBdr>
          <w:divsChild>
            <w:div w:id="488331449">
              <w:marLeft w:val="0"/>
              <w:marRight w:val="0"/>
              <w:marTop w:val="0"/>
              <w:marBottom w:val="0"/>
              <w:divBdr>
                <w:top w:val="none" w:sz="0" w:space="0" w:color="auto"/>
                <w:left w:val="none" w:sz="0" w:space="0" w:color="auto"/>
                <w:bottom w:val="none" w:sz="0" w:space="0" w:color="auto"/>
                <w:right w:val="none" w:sz="0" w:space="0" w:color="auto"/>
              </w:divBdr>
            </w:div>
            <w:div w:id="1301426235">
              <w:marLeft w:val="0"/>
              <w:marRight w:val="0"/>
              <w:marTop w:val="0"/>
              <w:marBottom w:val="0"/>
              <w:divBdr>
                <w:top w:val="none" w:sz="0" w:space="0" w:color="auto"/>
                <w:left w:val="none" w:sz="0" w:space="0" w:color="auto"/>
                <w:bottom w:val="none" w:sz="0" w:space="0" w:color="auto"/>
                <w:right w:val="none" w:sz="0" w:space="0" w:color="auto"/>
              </w:divBdr>
            </w:div>
          </w:divsChild>
        </w:div>
        <w:div w:id="618294173">
          <w:marLeft w:val="0"/>
          <w:marRight w:val="0"/>
          <w:marTop w:val="0"/>
          <w:marBottom w:val="0"/>
          <w:divBdr>
            <w:top w:val="none" w:sz="0" w:space="0" w:color="auto"/>
            <w:left w:val="none" w:sz="0" w:space="0" w:color="auto"/>
            <w:bottom w:val="none" w:sz="0" w:space="0" w:color="auto"/>
            <w:right w:val="none" w:sz="0" w:space="0" w:color="auto"/>
          </w:divBdr>
          <w:divsChild>
            <w:div w:id="523599101">
              <w:marLeft w:val="0"/>
              <w:marRight w:val="0"/>
              <w:marTop w:val="0"/>
              <w:marBottom w:val="0"/>
              <w:divBdr>
                <w:top w:val="none" w:sz="0" w:space="0" w:color="auto"/>
                <w:left w:val="none" w:sz="0" w:space="0" w:color="auto"/>
                <w:bottom w:val="none" w:sz="0" w:space="0" w:color="auto"/>
                <w:right w:val="none" w:sz="0" w:space="0" w:color="auto"/>
              </w:divBdr>
              <w:divsChild>
                <w:div w:id="1659311660">
                  <w:marLeft w:val="0"/>
                  <w:marRight w:val="0"/>
                  <w:marTop w:val="0"/>
                  <w:marBottom w:val="0"/>
                  <w:divBdr>
                    <w:top w:val="none" w:sz="0" w:space="0" w:color="auto"/>
                    <w:left w:val="none" w:sz="0" w:space="0" w:color="auto"/>
                    <w:bottom w:val="none" w:sz="0" w:space="0" w:color="auto"/>
                    <w:right w:val="none" w:sz="0" w:space="0" w:color="auto"/>
                  </w:divBdr>
                </w:div>
                <w:div w:id="76919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pts.washington.edu/ccph/toolkit.html" TargetMode="External"/><Relationship Id="rId13" Type="http://schemas.openxmlformats.org/officeDocument/2006/relationships/hyperlink" Target="http://www.cic.uiuc.edu" TargetMode="External"/><Relationship Id="rId18" Type="http://schemas.openxmlformats.org/officeDocument/2006/relationships/hyperlink" Target="http://ap.csumb.edu/retention-tenure-promotio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dx.edu/oaa/promotion-and-tenure-information" TargetMode="External"/><Relationship Id="rId7" Type="http://schemas.openxmlformats.org/officeDocument/2006/relationships/hyperlink" Target="http://depts.washington.edu/ccph/scholarship.html" TargetMode="External"/><Relationship Id="rId12" Type="http://schemas.openxmlformats.org/officeDocument/2006/relationships/hyperlink" Target="http://ncsue.msu.edu/research/leadingcampusconversations.aspx" TargetMode="External"/><Relationship Id="rId17" Type="http://schemas.openxmlformats.org/officeDocument/2006/relationships/hyperlink" Target="http://criticaljunctures.c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mpact.org/wp-content/uploads/initiatives/research_universities/conference_report.pdf" TargetMode="External"/><Relationship Id="rId20" Type="http://schemas.openxmlformats.org/officeDocument/2006/relationships/hyperlink" Target="http://ncsue.msu.edu/files/Omahapresentation2.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nationalacademy.org/rewards/biblio.html" TargetMode="External"/><Relationship Id="rId24" Type="http://schemas.openxmlformats.org/officeDocument/2006/relationships/hyperlink" Target="http://provost.uncg.edu/documents/personnel/evaluationPT.pdf" TargetMode="External"/><Relationship Id="rId5" Type="http://schemas.openxmlformats.org/officeDocument/2006/relationships/settings" Target="settings.xml"/><Relationship Id="rId15" Type="http://schemas.openxmlformats.org/officeDocument/2006/relationships/hyperlink" Target="http://www.ccph.info/" TargetMode="External"/><Relationship Id="rId23" Type="http://schemas.openxmlformats.org/officeDocument/2006/relationships/hyperlink" Target="http://www.memphis.edu/facultyhandbook/2012FHB_Chapter4.htm" TargetMode="External"/><Relationship Id="rId10" Type="http://schemas.openxmlformats.org/officeDocument/2006/relationships/hyperlink" Target="http://classifications.carnegiefoundation.org/descriptions/community_engagement.php" TargetMode="External"/><Relationship Id="rId19" Type="http://schemas.openxmlformats.org/officeDocument/2006/relationships/hyperlink" Target="http://www.ncsue.msu.edu/files/EngagementExchange_No.1_Jan2010.pdf" TargetMode="External"/><Relationship Id="rId4" Type="http://schemas.microsoft.com/office/2007/relationships/stylesWithEffects" Target="stylesWithEffects.xml"/><Relationship Id="rId9" Type="http://schemas.openxmlformats.org/officeDocument/2006/relationships/hyperlink" Target="http://ercompact.org/?page_id=39" TargetMode="External"/><Relationship Id="rId14" Type="http://schemas.openxmlformats.org/officeDocument/2006/relationships/hyperlink" Target="http://www.thenationalacademy.org/readings/tenpromo.html" TargetMode="External"/><Relationship Id="rId22" Type="http://schemas.openxmlformats.org/officeDocument/2006/relationships/hyperlink" Target="http://www.syr.edu/academics/office_of_academic_admin/faculty/manual/tenu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86CFE3-DDF3-4311-BF87-F67BB2C8B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2624</Words>
  <Characters>14957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17546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the Holy Cross</dc:creator>
  <cp:lastModifiedBy>windowsbuild</cp:lastModifiedBy>
  <cp:revision>2</cp:revision>
  <cp:lastPrinted>2012-11-30T16:04:00Z</cp:lastPrinted>
  <dcterms:created xsi:type="dcterms:W3CDTF">2015-07-01T02:03:00Z</dcterms:created>
  <dcterms:modified xsi:type="dcterms:W3CDTF">2015-07-01T02:03:00Z</dcterms:modified>
</cp:coreProperties>
</file>